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-897890</wp:posOffset>
                </wp:positionV>
                <wp:extent cx="7577455" cy="10670540"/>
                <wp:effectExtent l="0" t="0" r="4445" b="0"/>
                <wp:wrapNone/>
                <wp:docPr id="3" name="矩形 3"/>
                <wp:cNvGraphicFramePr/>
                <a:graphic xmlns:a="http://schemas.openxmlformats.org/drawingml/2006/main">
                  <a:graphicData uri="http://schemas.microsoft.com/office/word/2010/wordprocessingShape">
                    <wps:wsp>
                      <wps:cNvSpPr/>
                      <wps:spPr>
                        <a:xfrm>
                          <a:off x="0" y="0"/>
                          <a:ext cx="7577593" cy="10670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0pt;margin-top:-70.7pt;height:840.2pt;width:596.65pt;z-index:251670528;v-text-anchor:middle;mso-width-relative:page;mso-height-relative:page;" fillcolor="#FFFFFF [3212]" filled="t" stroked="f" coordsize="21600,21600" o:gfxdata="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BtAEtQ3AAAAA8BAAAPAAAAAAAAAAEAIAAAADgAAABkcnMvZG93&#10;bnJldi54bWxQSwECFAAUAAAACACHTuJAMPNuylgCAACOBAAADgAAAAAAAAABACAAAABBAQAAZHJz&#10;L2Uyb0RvYy54bWxQSwUGAAAAAAYABgBZAQAACwYAAAAA&#10;">
                <v:fill on="t" focussize="0,0"/>
                <v:stroke on="f" weight="1pt" miterlimit="8" joinstyle="miter"/>
                <v:imagedata o:title=""/>
                <o:lock v:ext="edit" aspectratio="f"/>
              </v:rect>
            </w:pict>
          </mc:Fallback>
        </mc:AlternateContent>
      </w:r>
    </w:p>
    <w:p/>
    <w:p/>
    <w:p/>
    <w:p/>
    <w:p>
      <w:r>
        <mc:AlternateContent>
          <mc:Choice Requires="wps">
            <w:drawing>
              <wp:anchor distT="45720" distB="45720" distL="114300" distR="114300" simplePos="0" relativeHeight="251671552" behindDoc="0" locked="0" layoutInCell="1" allowOverlap="1">
                <wp:simplePos x="0" y="0"/>
                <wp:positionH relativeFrom="margin">
                  <wp:posOffset>-1143000</wp:posOffset>
                </wp:positionH>
                <wp:positionV relativeFrom="paragraph">
                  <wp:posOffset>231140</wp:posOffset>
                </wp:positionV>
                <wp:extent cx="7529830" cy="4925060"/>
                <wp:effectExtent l="0" t="0" r="0" b="0"/>
                <wp:wrapNone/>
                <wp:docPr id="29"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7529885" cy="4925085"/>
                        </a:xfrm>
                        <a:prstGeom prst="rect">
                          <a:avLst/>
                        </a:prstGeom>
                        <a:noFill/>
                        <a:ln w="9525">
                          <a:noFill/>
                          <a:miter lim="800000"/>
                        </a:ln>
                      </wps:spPr>
                      <wps:txbx>
                        <w:txbxContent>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天津市北辰区</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殡葬服务设施布局专项规划</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（2</w:t>
                            </w:r>
                            <w:r>
                              <w:rPr>
                                <w:rFonts w:ascii="方正小标宋简体" w:hAnsi="方正小标宋简体" w:eastAsia="方正小标宋简体" w:cs="Arial"/>
                                <w:b/>
                                <w:bCs/>
                                <w:spacing w:val="20"/>
                                <w:sz w:val="48"/>
                                <w:szCs w:val="48"/>
                              </w:rPr>
                              <w:t>021-2035</w:t>
                            </w:r>
                            <w:r>
                              <w:rPr>
                                <w:rFonts w:hint="eastAsia" w:ascii="方正小标宋简体" w:hAnsi="方正小标宋简体" w:eastAsia="方正小标宋简体" w:cs="Arial"/>
                                <w:b/>
                                <w:bCs/>
                                <w:spacing w:val="20"/>
                                <w:sz w:val="48"/>
                                <w:szCs w:val="48"/>
                              </w:rPr>
                              <w:t>年）</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风险评估报告</w:t>
                            </w:r>
                          </w:p>
                          <w:p>
                            <w:pPr>
                              <w:adjustRightInd w:val="0"/>
                              <w:snapToGrid w:val="0"/>
                              <w:spacing w:line="1300" w:lineRule="exact"/>
                              <w:jc w:val="center"/>
                              <w:rPr>
                                <w:rFonts w:hAnsi="华文中宋" w:cs="Arial"/>
                                <w:spacing w:val="20"/>
                                <w:sz w:val="40"/>
                                <w:szCs w:val="40"/>
                              </w:rPr>
                            </w:pPr>
                          </w:p>
                          <w:p>
                            <w:pPr>
                              <w:adjustRightInd w:val="0"/>
                              <w:snapToGrid w:val="0"/>
                              <w:spacing w:line="1300" w:lineRule="exact"/>
                              <w:jc w:val="center"/>
                              <w:rPr>
                                <w:rFonts w:hAnsi="华文中宋" w:cs="Arial"/>
                                <w:spacing w:val="20"/>
                                <w:sz w:val="40"/>
                                <w:szCs w:val="40"/>
                              </w:rPr>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90pt;margin-top:18.2pt;height:387.8pt;width:592.9pt;mso-position-horizontal-relative:margin;z-index:251671552;mso-width-relative:page;mso-height-relative:page;" filled="f" stroked="f" coordsize="21600,21600" o:gfxdata="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8wwtK9gAAAAMAQAADwAAAAAAAAABACAAAAA4AAAAZHJzL2Rvd25yZXYueG1sUEsBAhQAFAAAAAgA&#10;h07iQGWzmJ0PAgAA5wMAAA4AAAAAAAAAAQAgAAAAPQEAAGRycy9lMm9Eb2MueG1sUEsFBgAAAAAG&#10;AAYAWQEAAL4FAAAAAA==&#10;">
                <v:fill on="f" focussize="0,0"/>
                <v:stroke on="f" miterlimit="8" joinstyle="miter"/>
                <v:imagedata o:title=""/>
                <o:lock v:ext="edit" aspectratio="f"/>
                <v:textbox>
                  <w:txbxContent>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天津市北辰区</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殡葬服务设施布局专项规划</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（2</w:t>
                      </w:r>
                      <w:r>
                        <w:rPr>
                          <w:rFonts w:ascii="方正小标宋简体" w:hAnsi="方正小标宋简体" w:eastAsia="方正小标宋简体" w:cs="Arial"/>
                          <w:b/>
                          <w:bCs/>
                          <w:spacing w:val="20"/>
                          <w:sz w:val="48"/>
                          <w:szCs w:val="48"/>
                        </w:rPr>
                        <w:t>021-2035</w:t>
                      </w:r>
                      <w:r>
                        <w:rPr>
                          <w:rFonts w:hint="eastAsia" w:ascii="方正小标宋简体" w:hAnsi="方正小标宋简体" w:eastAsia="方正小标宋简体" w:cs="Arial"/>
                          <w:b/>
                          <w:bCs/>
                          <w:spacing w:val="20"/>
                          <w:sz w:val="48"/>
                          <w:szCs w:val="48"/>
                        </w:rPr>
                        <w:t>年）</w:t>
                      </w:r>
                    </w:p>
                    <w:p>
                      <w:pPr>
                        <w:spacing w:line="560" w:lineRule="exact"/>
                        <w:jc w:val="center"/>
                        <w:rPr>
                          <w:rFonts w:ascii="方正小标宋简体" w:hAnsi="方正小标宋简体" w:eastAsia="方正小标宋简体" w:cs="Arial"/>
                          <w:b/>
                          <w:bCs/>
                          <w:spacing w:val="20"/>
                          <w:sz w:val="48"/>
                          <w:szCs w:val="48"/>
                        </w:rPr>
                      </w:pPr>
                      <w:r>
                        <w:rPr>
                          <w:rFonts w:hint="eastAsia" w:ascii="方正小标宋简体" w:hAnsi="方正小标宋简体" w:eastAsia="方正小标宋简体" w:cs="Arial"/>
                          <w:b/>
                          <w:bCs/>
                          <w:spacing w:val="20"/>
                          <w:sz w:val="48"/>
                          <w:szCs w:val="48"/>
                        </w:rPr>
                        <w:t>风险评估报告</w:t>
                      </w:r>
                    </w:p>
                    <w:p>
                      <w:pPr>
                        <w:adjustRightInd w:val="0"/>
                        <w:snapToGrid w:val="0"/>
                        <w:spacing w:line="1300" w:lineRule="exact"/>
                        <w:jc w:val="center"/>
                        <w:rPr>
                          <w:rFonts w:hAnsi="华文中宋" w:cs="Arial"/>
                          <w:spacing w:val="20"/>
                          <w:sz w:val="40"/>
                          <w:szCs w:val="40"/>
                        </w:rPr>
                      </w:pPr>
                    </w:p>
                    <w:p>
                      <w:pPr>
                        <w:adjustRightInd w:val="0"/>
                        <w:snapToGrid w:val="0"/>
                        <w:spacing w:line="1300" w:lineRule="exact"/>
                        <w:jc w:val="center"/>
                        <w:rPr>
                          <w:rFonts w:hAnsi="华文中宋" w:cs="Arial"/>
                          <w:spacing w:val="20"/>
                          <w:sz w:val="40"/>
                          <w:szCs w:val="40"/>
                        </w:rPr>
                      </w:pPr>
                    </w:p>
                  </w:txbxContent>
                </v:textbox>
              </v:shape>
            </w:pict>
          </mc:Fallback>
        </mc:AlternateContent>
      </w:r>
    </w:p>
    <w:p/>
    <w:p/>
    <w:p/>
    <w:p/>
    <w:p/>
    <w:p/>
    <w:p/>
    <w:p/>
    <w:p/>
    <w:p/>
    <w:p/>
    <w:p/>
    <w:p/>
    <w:p/>
    <w:p/>
    <w:p/>
    <w:p/>
    <w:p/>
    <w:p/>
    <w:p/>
    <w:p/>
    <w:p/>
    <w:p/>
    <w:p/>
    <w:p/>
    <w:p/>
    <w:p/>
    <w:p/>
    <w:p/>
    <w:p/>
    <w:p/>
    <w:p>
      <w:pPr>
        <w:sectPr>
          <w:headerReference r:id="rId4" w:type="default"/>
          <w:footerReference r:id="rId5" w:type="default"/>
          <w:pgSz w:w="11906" w:h="16838"/>
          <w:pgMar w:top="1440" w:right="1800" w:bottom="1440" w:left="1800" w:header="851" w:footer="992" w:gutter="0"/>
          <w:cols w:space="425" w:num="1"/>
          <w:docGrid w:type="lines" w:linePitch="312" w:charSpace="0"/>
        </w:sectPr>
      </w:pPr>
      <w:r>
        <mc:AlternateContent>
          <mc:Choice Requires="wps">
            <w:drawing>
              <wp:anchor distT="45720" distB="45720" distL="114300" distR="114300" simplePos="0" relativeHeight="251673600" behindDoc="0" locked="0" layoutInCell="1" allowOverlap="1">
                <wp:simplePos x="0" y="0"/>
                <wp:positionH relativeFrom="margin">
                  <wp:posOffset>-1143000</wp:posOffset>
                </wp:positionH>
                <wp:positionV relativeFrom="paragraph">
                  <wp:posOffset>904240</wp:posOffset>
                </wp:positionV>
                <wp:extent cx="7577455" cy="727710"/>
                <wp:effectExtent l="0" t="0" r="0" b="0"/>
                <wp:wrapNone/>
                <wp:docPr id="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7577455" cy="727842"/>
                        </a:xfrm>
                        <a:prstGeom prst="rect">
                          <a:avLst/>
                        </a:prstGeom>
                        <a:noFill/>
                        <a:ln w="9525">
                          <a:noFill/>
                          <a:miter lim="800000"/>
                        </a:ln>
                      </wps:spPr>
                      <wps:txbx>
                        <w:txbxContent>
                          <w:p>
                            <w:pPr>
                              <w:adjustRightInd w:val="0"/>
                              <w:snapToGrid w:val="0"/>
                              <w:jc w:val="center"/>
                              <w:rPr>
                                <w:rFonts w:ascii="楷体_GB2312" w:hAnsi="黑体" w:eastAsia="楷体_GB2312" w:cs="Arial"/>
                                <w:spacing w:val="20"/>
                                <w:sz w:val="32"/>
                                <w:szCs w:val="32"/>
                              </w:rPr>
                            </w:pPr>
                            <w:r>
                              <w:rPr>
                                <w:rFonts w:hint="eastAsia" w:ascii="楷体_GB2312" w:hAnsi="黑体" w:eastAsia="楷体_GB2312" w:cs="Arial"/>
                                <w:spacing w:val="20"/>
                                <w:sz w:val="32"/>
                                <w:szCs w:val="32"/>
                              </w:rPr>
                              <w:t>2023年10月</w:t>
                            </w:r>
                            <w:r>
                              <w:rPr>
                                <w:rFonts w:hint="eastAsia" w:ascii="楷体_GB2312" w:hAnsi="黑体" w:eastAsia="楷体_GB2312" w:cs="Arial"/>
                                <w:spacing w:val="20"/>
                                <w:sz w:val="32"/>
                                <w:szCs w:val="32"/>
                                <w:lang w:val="en-US" w:eastAsia="zh-CN"/>
                              </w:rPr>
                              <w:t>14</w:t>
                            </w:r>
                            <w:r>
                              <w:rPr>
                                <w:rFonts w:hint="eastAsia" w:ascii="楷体_GB2312" w:hAnsi="黑体" w:eastAsia="楷体_GB2312" w:cs="Arial"/>
                                <w:spacing w:val="20"/>
                                <w:sz w:val="32"/>
                                <w:szCs w:val="32"/>
                              </w:rPr>
                              <w:t>日</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90pt;margin-top:71.2pt;height:57.3pt;width:596.65pt;mso-position-horizontal-relative:margin;z-index:251673600;mso-width-relative:page;mso-height-relative:page;" filled="f" stroked="f" coordsize="21600,21600" o:gfxdata="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dsIBO2gAAAA0BAAAPAAAAAAAAAAEAIAAAADgAAABkcnMvZG93bnJldi54bWxQSwECFAAUAAAA&#10;CACHTuJApAzlmw8CAADlAwAADgAAAAAAAAABACAAAAA/AQAAZHJzL2Uyb0RvYy54bWxQSwUGAAAA&#10;AAYABgBZAQAAwAUAAAAA&#10;">
                <v:fill on="f" focussize="0,0"/>
                <v:stroke on="f" miterlimit="8" joinstyle="miter"/>
                <v:imagedata o:title=""/>
                <o:lock v:ext="edit" aspectratio="f"/>
                <v:textbox>
                  <w:txbxContent>
                    <w:p>
                      <w:pPr>
                        <w:adjustRightInd w:val="0"/>
                        <w:snapToGrid w:val="0"/>
                        <w:jc w:val="center"/>
                        <w:rPr>
                          <w:rFonts w:ascii="楷体_GB2312" w:hAnsi="黑体" w:eastAsia="楷体_GB2312" w:cs="Arial"/>
                          <w:spacing w:val="20"/>
                          <w:sz w:val="32"/>
                          <w:szCs w:val="32"/>
                        </w:rPr>
                      </w:pPr>
                      <w:r>
                        <w:rPr>
                          <w:rFonts w:hint="eastAsia" w:ascii="楷体_GB2312" w:hAnsi="黑体" w:eastAsia="楷体_GB2312" w:cs="Arial"/>
                          <w:spacing w:val="20"/>
                          <w:sz w:val="32"/>
                          <w:szCs w:val="32"/>
                        </w:rPr>
                        <w:t>2023年10月</w:t>
                      </w:r>
                      <w:r>
                        <w:rPr>
                          <w:rFonts w:hint="eastAsia" w:ascii="楷体_GB2312" w:hAnsi="黑体" w:eastAsia="楷体_GB2312" w:cs="Arial"/>
                          <w:spacing w:val="20"/>
                          <w:sz w:val="32"/>
                          <w:szCs w:val="32"/>
                          <w:lang w:val="en-US" w:eastAsia="zh-CN"/>
                        </w:rPr>
                        <w:t>14</w:t>
                      </w:r>
                      <w:r>
                        <w:rPr>
                          <w:rFonts w:hint="eastAsia" w:ascii="楷体_GB2312" w:hAnsi="黑体" w:eastAsia="楷体_GB2312" w:cs="Arial"/>
                          <w:spacing w:val="20"/>
                          <w:sz w:val="32"/>
                          <w:szCs w:val="32"/>
                        </w:rPr>
                        <w:t>日</w:t>
                      </w:r>
                    </w:p>
                  </w:txbxContent>
                </v:textbox>
              </v:shape>
            </w:pict>
          </mc:Fallback>
        </mc:AlternateContent>
      </w:r>
    </w:p>
    <w:p>
      <w:pPr>
        <w:pStyle w:val="22"/>
        <w:keepNext/>
        <w:keepLines/>
        <w:numPr>
          <w:ilvl w:val="0"/>
          <w:numId w:val="1"/>
        </w:numPr>
        <w:spacing w:line="560" w:lineRule="exact"/>
        <w:ind w:firstLineChars="0"/>
        <w:jc w:val="center"/>
        <w:outlineLvl w:val="0"/>
        <w:rPr>
          <w:rFonts w:ascii="Times New Roman" w:hAnsi="Times New Roman" w:eastAsia="黑体" w:cs="Times New Roman"/>
          <w:b/>
          <w:bCs/>
          <w:kern w:val="44"/>
          <w:sz w:val="36"/>
          <w:szCs w:val="52"/>
        </w:rPr>
      </w:pPr>
      <w:bookmarkStart w:id="0" w:name="_Toc119542299"/>
      <w:r>
        <w:rPr>
          <w:rFonts w:hint="eastAsia" w:ascii="Times New Roman" w:hAnsi="Times New Roman" w:eastAsia="黑体" w:cs="Times New Roman"/>
          <w:b/>
          <w:bCs/>
          <w:kern w:val="44"/>
          <w:sz w:val="36"/>
          <w:szCs w:val="52"/>
        </w:rPr>
        <w:t>风险评估介绍</w:t>
      </w:r>
      <w:bookmarkEnd w:id="0"/>
    </w:p>
    <w:p>
      <w:pPr>
        <w:pStyle w:val="3"/>
        <w:spacing w:before="0" w:after="0" w:line="560" w:lineRule="exact"/>
        <w:ind w:firstLine="640" w:firstLineChars="200"/>
        <w:rPr>
          <w:rFonts w:ascii="黑体" w:hAnsi="黑体" w:eastAsia="黑体" w:cs="Times New Roman"/>
          <w:b w:val="0"/>
          <w:bCs w:val="0"/>
          <w:kern w:val="44"/>
          <w:szCs w:val="48"/>
        </w:rPr>
      </w:pPr>
      <w:bookmarkStart w:id="1" w:name="_Toc119542300"/>
      <w:r>
        <w:rPr>
          <w:rFonts w:hint="eastAsia" w:ascii="黑体" w:hAnsi="黑体" w:eastAsia="黑体" w:cs="Times New Roman"/>
          <w:b w:val="0"/>
          <w:bCs w:val="0"/>
          <w:kern w:val="44"/>
          <w:szCs w:val="48"/>
        </w:rPr>
        <w:t>1</w:t>
      </w:r>
      <w:r>
        <w:rPr>
          <w:rFonts w:ascii="黑体" w:hAnsi="黑体" w:eastAsia="黑体" w:cs="Times New Roman"/>
          <w:b w:val="0"/>
          <w:bCs w:val="0"/>
          <w:kern w:val="44"/>
          <w:szCs w:val="48"/>
        </w:rPr>
        <w:t>.1.</w:t>
      </w:r>
      <w:r>
        <w:rPr>
          <w:rFonts w:hint="eastAsia" w:ascii="黑体" w:hAnsi="黑体" w:eastAsia="黑体" w:cs="Times New Roman"/>
          <w:b w:val="0"/>
          <w:bCs w:val="0"/>
          <w:kern w:val="44"/>
          <w:szCs w:val="48"/>
        </w:rPr>
        <w:t>评估</w:t>
      </w:r>
      <w:bookmarkEnd w:id="1"/>
      <w:r>
        <w:rPr>
          <w:rFonts w:hint="eastAsia" w:ascii="黑体" w:hAnsi="黑体" w:eastAsia="黑体" w:cs="Times New Roman"/>
          <w:b w:val="0"/>
          <w:bCs w:val="0"/>
          <w:kern w:val="44"/>
          <w:szCs w:val="48"/>
        </w:rPr>
        <w:t>背景</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殡葬服务设施是保障和改善民生的基本要求，是推进国家治理体系和治理能力现代化的重要方面，事关社会福祉和</w:t>
      </w:r>
      <w:bookmarkStart w:id="14" w:name="_GoBack"/>
      <w:bookmarkEnd w:id="14"/>
      <w:r>
        <w:rPr>
          <w:rFonts w:hint="eastAsia" w:ascii="仿宋_GB2312" w:hAnsi="仿宋" w:eastAsia="仿宋_GB2312" w:cs="Times New Roman"/>
          <w:sz w:val="32"/>
          <w:szCs w:val="40"/>
        </w:rPr>
        <w:t>精神文明、生态文明建设。由于殡葬服务设施的特殊性，长期以来对其规划重视不够，不少城市缺乏专项规划，导致在编制城市总规和详规时都忽视了殡葬服务设施的存在，出现了布局散乱、占地过大、配套缺失等一系列问题。</w:t>
      </w:r>
    </w:p>
    <w:p>
      <w:pPr>
        <w:spacing w:line="560" w:lineRule="exact"/>
        <w:ind w:firstLine="640" w:firstLineChars="200"/>
        <w:rPr>
          <w:rFonts w:ascii="仿宋_GB2312" w:hAnsi="仿宋" w:eastAsia="仿宋_GB2312" w:cs="Times New Roman"/>
          <w:sz w:val="32"/>
          <w:szCs w:val="40"/>
        </w:rPr>
      </w:pPr>
      <w:r>
        <w:rPr>
          <w:rFonts w:ascii="仿宋_GB2312" w:hAnsi="仿宋" w:eastAsia="仿宋_GB2312" w:cs="Times New Roman"/>
          <w:sz w:val="32"/>
          <w:szCs w:val="40"/>
        </w:rPr>
        <w:t>2017</w:t>
      </w:r>
      <w:r>
        <w:rPr>
          <w:rFonts w:hint="eastAsia" w:ascii="仿宋_GB2312" w:hAnsi="仿宋" w:eastAsia="仿宋_GB2312" w:cs="Times New Roman"/>
          <w:sz w:val="32"/>
          <w:szCs w:val="40"/>
        </w:rPr>
        <w:t>年，《天津市民政事业发展“十三五”规划》提出加强殡葬管理，推进殡葬改革，将殡仪馆、殡仪服务中心（站）、公墓、骨灰堂等殡葬设施纳入城市建设规划和基本建设计划。天津市各区殡葬服务设施专项规划提上日程。2</w:t>
      </w:r>
      <w:r>
        <w:rPr>
          <w:rFonts w:ascii="仿宋_GB2312" w:hAnsi="仿宋" w:eastAsia="仿宋_GB2312" w:cs="Times New Roman"/>
          <w:sz w:val="32"/>
          <w:szCs w:val="40"/>
        </w:rPr>
        <w:t>022</w:t>
      </w:r>
      <w:r>
        <w:rPr>
          <w:rFonts w:hint="eastAsia" w:ascii="仿宋_GB2312" w:hAnsi="仿宋" w:eastAsia="仿宋_GB2312" w:cs="Times New Roman"/>
          <w:sz w:val="32"/>
          <w:szCs w:val="40"/>
        </w:rPr>
        <w:t>年，按照《天津市殡葬领域突出问题整治方案》要求，为贯彻落实天津市殡葬领域大排查大整治工作部署和市土地巡查整改要求，进一步补齐全区殡葬领域短板，科学合理确定殡葬设施的布局和数量，规范殡葬市场秩序，北辰区民政局起草编制完成了《天津市北辰区殡葬服务设施布局专项规划（</w:t>
      </w:r>
      <w:r>
        <w:rPr>
          <w:rFonts w:ascii="仿宋_GB2312" w:hAnsi="仿宋" w:eastAsia="仿宋_GB2312" w:cs="Times New Roman"/>
          <w:sz w:val="32"/>
          <w:szCs w:val="40"/>
        </w:rPr>
        <w:t>2021-2035年）》</w:t>
      </w:r>
      <w:r>
        <w:rPr>
          <w:rFonts w:hint="eastAsia" w:ascii="仿宋_GB2312" w:hAnsi="仿宋" w:eastAsia="仿宋_GB2312" w:cs="Times New Roman"/>
          <w:sz w:val="32"/>
          <w:szCs w:val="40"/>
        </w:rPr>
        <w:t>（以下简称《专项规划》）。</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《专项规划》分规划总则、发展现状、总体要求和发展目标、殡葬设施规划、政策落实和管理保障、近期重点工作六部分设计了北辰区2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年殡葬服务设施的配置原则、数量结构、空间布局，及开发建设模式和管理保障体系，为北辰区近期和中远期殡葬服务设施供给和殡葬事业发展奠定了规划基础。</w:t>
      </w:r>
    </w:p>
    <w:p>
      <w:pPr>
        <w:pStyle w:val="3"/>
        <w:spacing w:before="0" w:after="0" w:line="560" w:lineRule="exact"/>
        <w:ind w:firstLine="640" w:firstLineChars="200"/>
        <w:rPr>
          <w:rFonts w:ascii="黑体" w:hAnsi="黑体" w:eastAsia="黑体" w:cs="Times New Roman"/>
          <w:b w:val="0"/>
          <w:bCs w:val="0"/>
          <w:kern w:val="44"/>
          <w:szCs w:val="48"/>
        </w:rPr>
      </w:pPr>
      <w:r>
        <w:rPr>
          <w:rFonts w:hint="eastAsia" w:ascii="黑体" w:hAnsi="黑体" w:eastAsia="黑体" w:cs="Times New Roman"/>
          <w:b w:val="0"/>
          <w:bCs w:val="0"/>
          <w:kern w:val="44"/>
          <w:szCs w:val="48"/>
        </w:rPr>
        <w:t>1</w:t>
      </w:r>
      <w:r>
        <w:rPr>
          <w:rFonts w:ascii="黑体" w:hAnsi="黑体" w:eastAsia="黑体" w:cs="Times New Roman"/>
          <w:b w:val="0"/>
          <w:bCs w:val="0"/>
          <w:kern w:val="44"/>
          <w:szCs w:val="48"/>
        </w:rPr>
        <w:t>.2.</w:t>
      </w:r>
      <w:r>
        <w:rPr>
          <w:rFonts w:hint="eastAsia" w:ascii="黑体" w:hAnsi="黑体" w:eastAsia="黑体" w:cs="Times New Roman"/>
          <w:b w:val="0"/>
          <w:bCs w:val="0"/>
          <w:kern w:val="44"/>
          <w:szCs w:val="48"/>
        </w:rPr>
        <w:t>评估依据与目的</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根据国务院《重大行政决策程序暂行条例》、《天津市重大行政决策程序规定》有关规定，殡葬服务设施专项规划作为一个地区完善殡葬服务供给、推进殡葬改革的重要专项规划，属于重大行政决策，涉及面广、影响深远，依法依规需要进行风险评估。通过风险评估可以综合判断规划编制的科学性，明确规划方案的可行性、潜在风险及可控性，有助于提高规划编制质量、降低潜在风险、加强风险防范、保障规划落地效果，是规划方案合法性与合理性的重要依据，是科学、民主、依法决策原则的重要体现，也是法治政府建设的重要内容。</w:t>
      </w:r>
    </w:p>
    <w:p>
      <w:pPr>
        <w:pStyle w:val="3"/>
        <w:spacing w:before="0" w:after="0" w:line="560" w:lineRule="exact"/>
        <w:ind w:firstLine="640" w:firstLineChars="200"/>
        <w:rPr>
          <w:rFonts w:ascii="黑体" w:hAnsi="黑体" w:eastAsia="黑体" w:cs="Times New Roman"/>
          <w:b w:val="0"/>
          <w:bCs w:val="0"/>
          <w:kern w:val="44"/>
          <w:szCs w:val="48"/>
        </w:rPr>
      </w:pPr>
      <w:bookmarkStart w:id="2" w:name="_Toc119542301"/>
      <w:r>
        <w:rPr>
          <w:rFonts w:hint="eastAsia" w:ascii="黑体" w:hAnsi="黑体" w:eastAsia="黑体" w:cs="Times New Roman"/>
          <w:b w:val="0"/>
          <w:bCs w:val="0"/>
          <w:kern w:val="44"/>
          <w:szCs w:val="48"/>
        </w:rPr>
        <w:t>1</w:t>
      </w:r>
      <w:r>
        <w:rPr>
          <w:rFonts w:ascii="黑体" w:hAnsi="黑体" w:eastAsia="黑体" w:cs="Times New Roman"/>
          <w:b w:val="0"/>
          <w:bCs w:val="0"/>
          <w:kern w:val="44"/>
          <w:szCs w:val="48"/>
        </w:rPr>
        <w:t>.3.</w:t>
      </w:r>
      <w:r>
        <w:rPr>
          <w:rFonts w:hint="eastAsia" w:ascii="黑体" w:hAnsi="黑体" w:eastAsia="黑体" w:cs="Times New Roman"/>
          <w:b w:val="0"/>
          <w:bCs w:val="0"/>
          <w:kern w:val="44"/>
          <w:szCs w:val="48"/>
        </w:rPr>
        <w:t>评估</w:t>
      </w:r>
      <w:bookmarkEnd w:id="2"/>
      <w:r>
        <w:rPr>
          <w:rFonts w:hint="eastAsia" w:ascii="黑体" w:hAnsi="黑体" w:eastAsia="黑体" w:cs="Times New Roman"/>
          <w:b w:val="0"/>
          <w:bCs w:val="0"/>
          <w:kern w:val="44"/>
          <w:szCs w:val="48"/>
        </w:rPr>
        <w:t>内容</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风险评估本质上是一种决策辅助机制，通过评价规划制定程序的正当性、充分性，规划内容的科学性、可行性，综合研究判断决策的风险并进行有效防范。根据《天津市重大行政决策程序规定》第二十四条的规定，受北辰区民政局委托，北京印政方略咨询有限公司作为第三方评估机构，对《专项规划》进行了风险评估。</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风险评估的主要内容包括：《专项规划》编制的合法性和规范性，《专项规划》方案的科学性、可行性，对殡葬服务设施需求的满足度，对创新、惠民、绿色、文明殡葬理念的落实，与其他空间管控要求的协调性，规划及其实施可能引起的邻避效应、社会矛盾、生态环境、舆情等风险，以及风险程度和可控性。</w:t>
      </w:r>
    </w:p>
    <w:p>
      <w:pPr>
        <w:pStyle w:val="3"/>
        <w:spacing w:before="0" w:after="0" w:line="560" w:lineRule="exact"/>
        <w:ind w:firstLine="640" w:firstLineChars="200"/>
        <w:rPr>
          <w:rFonts w:ascii="黑体" w:hAnsi="黑体" w:eastAsia="黑体" w:cs="Times New Roman"/>
          <w:b w:val="0"/>
          <w:bCs w:val="0"/>
          <w:kern w:val="44"/>
          <w:szCs w:val="48"/>
        </w:rPr>
      </w:pPr>
      <w:bookmarkStart w:id="3" w:name="_Toc119542302"/>
      <w:r>
        <w:rPr>
          <w:rFonts w:ascii="黑体" w:hAnsi="黑体" w:eastAsia="黑体" w:cs="Times New Roman"/>
          <w:b w:val="0"/>
          <w:bCs w:val="0"/>
          <w:kern w:val="44"/>
          <w:szCs w:val="48"/>
        </w:rPr>
        <w:t>1.4.</w:t>
      </w:r>
      <w:r>
        <w:rPr>
          <w:rFonts w:hint="eastAsia" w:ascii="黑体" w:hAnsi="黑体" w:eastAsia="黑体" w:cs="Times New Roman"/>
          <w:b w:val="0"/>
          <w:bCs w:val="0"/>
          <w:kern w:val="44"/>
          <w:szCs w:val="48"/>
        </w:rPr>
        <w:t>评估原则</w:t>
      </w:r>
      <w:bookmarkEnd w:id="3"/>
      <w:r>
        <w:rPr>
          <w:rFonts w:hint="eastAsia" w:ascii="黑体" w:hAnsi="黑体" w:eastAsia="黑体" w:cs="Times New Roman"/>
          <w:b w:val="0"/>
          <w:bCs w:val="0"/>
          <w:kern w:val="44"/>
          <w:szCs w:val="48"/>
        </w:rPr>
        <w:t>与方法</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本项风险评估工作，严格按照《天津市重大行政决策程序规定》第四条和第五章规定，贯彻创新、协调、绿色、开放、共享的新发展理念，遵循科学、民主、公正的原则，依法独立进行评估。评估方法主要包括：</w:t>
      </w:r>
    </w:p>
    <w:p>
      <w:pPr>
        <w:spacing w:line="560" w:lineRule="exact"/>
        <w:ind w:firstLine="642" w:firstLineChars="200"/>
        <w:rPr>
          <w:rFonts w:ascii="仿宋_GB2312" w:hAnsi="仿宋" w:eastAsia="仿宋_GB2312" w:cs="Times New Roman"/>
          <w:sz w:val="32"/>
          <w:szCs w:val="40"/>
        </w:rPr>
      </w:pPr>
      <w:r>
        <w:rPr>
          <w:rFonts w:hint="eastAsia" w:hAnsi="仿宋" w:eastAsia="楷体_GB2312" w:cs="Times New Roman"/>
          <w:b/>
          <w:bCs/>
          <w:sz w:val="32"/>
          <w:szCs w:val="40"/>
        </w:rPr>
        <w:t>（一）国家、天津市和北辰区相关政策规划研究。</w:t>
      </w:r>
      <w:r>
        <w:rPr>
          <w:rFonts w:hint="eastAsia" w:ascii="仿宋_GB2312" w:hAnsi="仿宋" w:eastAsia="仿宋_GB2312" w:cs="Times New Roman"/>
          <w:sz w:val="32"/>
          <w:szCs w:val="40"/>
        </w:rPr>
        <w:t>主要包括：《殡葬管理条例》（2</w:t>
      </w:r>
      <w:r>
        <w:rPr>
          <w:rFonts w:ascii="仿宋_GB2312" w:hAnsi="仿宋" w:eastAsia="仿宋_GB2312" w:cs="Times New Roman"/>
          <w:sz w:val="32"/>
          <w:szCs w:val="40"/>
        </w:rPr>
        <w:t>012</w:t>
      </w:r>
      <w:r>
        <w:rPr>
          <w:rFonts w:hint="eastAsia" w:ascii="仿宋_GB2312" w:hAnsi="仿宋" w:eastAsia="仿宋_GB2312" w:cs="Times New Roman"/>
          <w:sz w:val="32"/>
          <w:szCs w:val="40"/>
        </w:rPr>
        <w:t>年修订）、《关于推行节地生态安葬的指导意见》（民发〔</w:t>
      </w:r>
      <w:r>
        <w:rPr>
          <w:rFonts w:ascii="仿宋_GB2312" w:hAnsi="仿宋" w:eastAsia="仿宋_GB2312" w:cs="Times New Roman"/>
          <w:sz w:val="32"/>
          <w:szCs w:val="40"/>
        </w:rPr>
        <w:t>2016〕</w:t>
      </w:r>
      <w:r>
        <w:rPr>
          <w:rFonts w:hint="eastAsia" w:ascii="仿宋_GB2312" w:hAnsi="仿宋" w:eastAsia="仿宋_GB2312" w:cs="Times New Roman"/>
          <w:sz w:val="32"/>
          <w:szCs w:val="40"/>
        </w:rPr>
        <w:t>2</w:t>
      </w:r>
      <w:r>
        <w:rPr>
          <w:rFonts w:ascii="仿宋_GB2312" w:hAnsi="仿宋" w:eastAsia="仿宋_GB2312" w:cs="Times New Roman"/>
          <w:sz w:val="32"/>
          <w:szCs w:val="40"/>
        </w:rPr>
        <w:t>1号</w:t>
      </w:r>
      <w:r>
        <w:rPr>
          <w:rFonts w:hint="eastAsia" w:ascii="仿宋_GB2312" w:hAnsi="仿宋" w:eastAsia="仿宋_GB2312" w:cs="Times New Roman"/>
          <w:sz w:val="32"/>
          <w:szCs w:val="40"/>
        </w:rPr>
        <w:t>）、《关于进一步推动殡葬改革促进殡葬事业发展的指导意见》（民发〔</w:t>
      </w:r>
      <w:r>
        <w:rPr>
          <w:rFonts w:ascii="仿宋_GB2312" w:hAnsi="仿宋" w:eastAsia="仿宋_GB2312" w:cs="Times New Roman"/>
          <w:sz w:val="32"/>
          <w:szCs w:val="40"/>
        </w:rPr>
        <w:t>2018〕</w:t>
      </w:r>
      <w:r>
        <w:rPr>
          <w:rFonts w:hint="eastAsia" w:ascii="仿宋_GB2312" w:hAnsi="仿宋" w:eastAsia="仿宋_GB2312" w:cs="Times New Roman"/>
          <w:sz w:val="32"/>
          <w:szCs w:val="40"/>
        </w:rPr>
        <w:t>5</w:t>
      </w:r>
      <w:r>
        <w:rPr>
          <w:rFonts w:ascii="仿宋_GB2312" w:hAnsi="仿宋" w:eastAsia="仿宋_GB2312" w:cs="Times New Roman"/>
          <w:sz w:val="32"/>
          <w:szCs w:val="40"/>
        </w:rPr>
        <w:t>号）</w:t>
      </w:r>
      <w:r>
        <w:rPr>
          <w:rFonts w:hint="eastAsia" w:ascii="仿宋_GB2312" w:hAnsi="仿宋" w:eastAsia="仿宋_GB2312" w:cs="Times New Roman"/>
          <w:sz w:val="32"/>
          <w:szCs w:val="40"/>
        </w:rPr>
        <w:t xml:space="preserve">、《殡仪馆建设标准》（建标 </w:t>
      </w:r>
      <w:r>
        <w:rPr>
          <w:rFonts w:ascii="仿宋_GB2312" w:hAnsi="仿宋" w:eastAsia="仿宋_GB2312" w:cs="Times New Roman"/>
          <w:sz w:val="32"/>
          <w:szCs w:val="40"/>
        </w:rPr>
        <w:t>181-2017</w:t>
      </w:r>
      <w:r>
        <w:rPr>
          <w:rFonts w:hint="eastAsia" w:ascii="仿宋_GB2312" w:hAnsi="仿宋" w:eastAsia="仿宋_GB2312" w:cs="Times New Roman"/>
          <w:sz w:val="32"/>
          <w:szCs w:val="40"/>
        </w:rPr>
        <w:t xml:space="preserve">）、《城市公益性公墓建设标准》（建标 </w:t>
      </w:r>
      <w:r>
        <w:rPr>
          <w:rFonts w:ascii="仿宋_GB2312" w:hAnsi="仿宋" w:eastAsia="仿宋_GB2312" w:cs="Times New Roman"/>
          <w:sz w:val="32"/>
          <w:szCs w:val="40"/>
        </w:rPr>
        <w:t>182-2017</w:t>
      </w:r>
      <w:r>
        <w:rPr>
          <w:rFonts w:hint="eastAsia" w:ascii="仿宋_GB2312" w:hAnsi="仿宋" w:eastAsia="仿宋_GB2312" w:cs="Times New Roman"/>
          <w:sz w:val="32"/>
          <w:szCs w:val="40"/>
        </w:rPr>
        <w:t>）、《天津市殡葬管理条例实施办法》（2</w:t>
      </w:r>
      <w:r>
        <w:rPr>
          <w:rFonts w:ascii="仿宋_GB2312" w:hAnsi="仿宋" w:eastAsia="仿宋_GB2312" w:cs="Times New Roman"/>
          <w:sz w:val="32"/>
          <w:szCs w:val="40"/>
        </w:rPr>
        <w:t>018</w:t>
      </w:r>
      <w:r>
        <w:rPr>
          <w:rFonts w:hint="eastAsia" w:ascii="仿宋_GB2312" w:hAnsi="仿宋" w:eastAsia="仿宋_GB2312" w:cs="Times New Roman"/>
          <w:sz w:val="32"/>
          <w:szCs w:val="40"/>
        </w:rPr>
        <w:t>年修订）、《关于进一步推动殡葬改革促进殡葬事业发展的实施意见》（津民发〔</w:t>
      </w:r>
      <w:r>
        <w:rPr>
          <w:rFonts w:ascii="仿宋_GB2312" w:hAnsi="仿宋" w:eastAsia="仿宋_GB2312" w:cs="Times New Roman"/>
          <w:sz w:val="32"/>
          <w:szCs w:val="40"/>
        </w:rPr>
        <w:t>2019〕21号</w:t>
      </w:r>
      <w:r>
        <w:rPr>
          <w:rFonts w:hint="eastAsia" w:ascii="仿宋_GB2312" w:hAnsi="仿宋" w:eastAsia="仿宋_GB2312" w:cs="Times New Roman"/>
          <w:sz w:val="32"/>
          <w:szCs w:val="40"/>
        </w:rPr>
        <w:t>）、《天津市民政服务设施布局规划（2</w:t>
      </w:r>
      <w:r>
        <w:rPr>
          <w:rFonts w:ascii="仿宋_GB2312" w:hAnsi="仿宋" w:eastAsia="仿宋_GB2312" w:cs="Times New Roman"/>
          <w:sz w:val="32"/>
          <w:szCs w:val="40"/>
        </w:rPr>
        <w:t>020-2035</w:t>
      </w:r>
      <w:r>
        <w:rPr>
          <w:rFonts w:hint="eastAsia" w:ascii="仿宋_GB2312" w:hAnsi="仿宋" w:eastAsia="仿宋_GB2312" w:cs="Times New Roman"/>
          <w:sz w:val="32"/>
          <w:szCs w:val="40"/>
        </w:rPr>
        <w:t>年）》、《天津市殡葬服务设施布局规划（2</w:t>
      </w:r>
      <w:r>
        <w:rPr>
          <w:rFonts w:ascii="仿宋_GB2312" w:hAnsi="仿宋" w:eastAsia="仿宋_GB2312" w:cs="Times New Roman"/>
          <w:sz w:val="32"/>
          <w:szCs w:val="40"/>
        </w:rPr>
        <w:t>021-2035</w:t>
      </w:r>
      <w:r>
        <w:rPr>
          <w:rFonts w:hint="eastAsia" w:ascii="仿宋_GB2312" w:hAnsi="仿宋" w:eastAsia="仿宋_GB2312" w:cs="Times New Roman"/>
          <w:sz w:val="32"/>
          <w:szCs w:val="40"/>
        </w:rPr>
        <w:t>年）》（征求意见稿）、《北辰区人口发展和高质量公共服务体系建设“十四五”规划》，重点评估《专项规划》与上位法规、政策、规划、标准等的符合度。</w:t>
      </w:r>
    </w:p>
    <w:p>
      <w:pPr>
        <w:spacing w:line="560" w:lineRule="exact"/>
        <w:ind w:firstLine="642" w:firstLineChars="200"/>
        <w:rPr>
          <w:rFonts w:ascii="仿宋_GB2312" w:hAnsi="仿宋" w:eastAsia="仿宋_GB2312" w:cs="Times New Roman"/>
          <w:sz w:val="32"/>
          <w:szCs w:val="40"/>
        </w:rPr>
      </w:pPr>
      <w:r>
        <w:rPr>
          <w:rFonts w:hint="eastAsia" w:hAnsi="仿宋" w:eastAsia="楷体_GB2312" w:cs="Times New Roman"/>
          <w:b/>
          <w:bCs/>
          <w:sz w:val="32"/>
          <w:szCs w:val="40"/>
        </w:rPr>
        <w:t>（二）国内同类规划比较研究。</w:t>
      </w:r>
      <w:r>
        <w:rPr>
          <w:rFonts w:hint="eastAsia" w:ascii="仿宋_GB2312" w:hAnsi="仿宋" w:eastAsia="仿宋_GB2312" w:cs="Times New Roman"/>
          <w:sz w:val="32"/>
          <w:szCs w:val="40"/>
        </w:rPr>
        <w:t>本次评估比较了《专项规划》与《北京市殡葬设施专项规划（2</w:t>
      </w:r>
      <w:r>
        <w:rPr>
          <w:rFonts w:ascii="仿宋_GB2312" w:hAnsi="仿宋" w:eastAsia="仿宋_GB2312" w:cs="Times New Roman"/>
          <w:sz w:val="32"/>
          <w:szCs w:val="40"/>
        </w:rPr>
        <w:t>021</w:t>
      </w:r>
      <w:r>
        <w:rPr>
          <w:rFonts w:hint="eastAsia" w:ascii="仿宋_GB2312" w:hAnsi="仿宋" w:eastAsia="仿宋_GB2312" w:cs="Times New Roman"/>
          <w:sz w:val="32"/>
          <w:szCs w:val="40"/>
        </w:rPr>
        <w:t>年-</w:t>
      </w:r>
      <w:r>
        <w:rPr>
          <w:rFonts w:ascii="仿宋_GB2312" w:hAnsi="仿宋" w:eastAsia="仿宋_GB2312" w:cs="Times New Roman"/>
          <w:sz w:val="32"/>
          <w:szCs w:val="40"/>
        </w:rPr>
        <w:t>2035</w:t>
      </w:r>
      <w:r>
        <w:rPr>
          <w:rFonts w:hint="eastAsia" w:ascii="仿宋_GB2312" w:hAnsi="仿宋" w:eastAsia="仿宋_GB2312" w:cs="Times New Roman"/>
          <w:sz w:val="32"/>
          <w:szCs w:val="40"/>
        </w:rPr>
        <w:t>年）》《广东省殡葬事业发展“十四五”规划》《江苏省殡葬事业发展规划（2</w:t>
      </w:r>
      <w:r>
        <w:rPr>
          <w:rFonts w:ascii="仿宋_GB2312" w:hAnsi="仿宋" w:eastAsia="仿宋_GB2312" w:cs="Times New Roman"/>
          <w:sz w:val="32"/>
          <w:szCs w:val="40"/>
        </w:rPr>
        <w:t>021-2025</w:t>
      </w:r>
      <w:r>
        <w:rPr>
          <w:rFonts w:hint="eastAsia" w:ascii="仿宋_GB2312" w:hAnsi="仿宋" w:eastAsia="仿宋_GB2312" w:cs="Times New Roman"/>
          <w:sz w:val="32"/>
          <w:szCs w:val="40"/>
        </w:rPr>
        <w:t>年）》《山东省“十四五”公益性安葬（放）设施发展规划》《南京市殡葬设施专项规划（2</w:t>
      </w:r>
      <w:r>
        <w:rPr>
          <w:rFonts w:ascii="仿宋_GB2312" w:hAnsi="仿宋" w:eastAsia="仿宋_GB2312" w:cs="Times New Roman"/>
          <w:sz w:val="32"/>
          <w:szCs w:val="40"/>
        </w:rPr>
        <w:t>018-2035</w:t>
      </w:r>
      <w:r>
        <w:rPr>
          <w:rFonts w:hint="eastAsia" w:ascii="仿宋_GB2312" w:hAnsi="仿宋" w:eastAsia="仿宋_GB2312" w:cs="Times New Roman"/>
          <w:sz w:val="32"/>
          <w:szCs w:val="40"/>
        </w:rPr>
        <w:t>）》《长春市殡葬设施专项规划（2</w:t>
      </w:r>
      <w:r>
        <w:rPr>
          <w:rFonts w:ascii="仿宋_GB2312" w:hAnsi="仿宋" w:eastAsia="仿宋_GB2312" w:cs="Times New Roman"/>
          <w:sz w:val="32"/>
          <w:szCs w:val="40"/>
        </w:rPr>
        <w:t>020-2035</w:t>
      </w:r>
      <w:r>
        <w:rPr>
          <w:rFonts w:hint="eastAsia" w:ascii="仿宋_GB2312" w:hAnsi="仿宋" w:eastAsia="仿宋_GB2312" w:cs="Times New Roman"/>
          <w:sz w:val="32"/>
          <w:szCs w:val="40"/>
        </w:rPr>
        <w:t>年）》《兰州市殡葬用地布局专项规划（2</w:t>
      </w:r>
      <w:r>
        <w:rPr>
          <w:rFonts w:ascii="仿宋_GB2312" w:hAnsi="仿宋" w:eastAsia="仿宋_GB2312" w:cs="Times New Roman"/>
          <w:sz w:val="32"/>
          <w:szCs w:val="40"/>
        </w:rPr>
        <w:t>021-2035</w:t>
      </w:r>
      <w:r>
        <w:rPr>
          <w:rFonts w:hint="eastAsia" w:ascii="仿宋_GB2312" w:hAnsi="仿宋" w:eastAsia="仿宋_GB2312" w:cs="Times New Roman"/>
          <w:sz w:val="32"/>
          <w:szCs w:val="40"/>
        </w:rPr>
        <w:t>年）》《威海市殡葬设施布局建设规划（</w:t>
      </w:r>
      <w:r>
        <w:rPr>
          <w:rFonts w:ascii="仿宋_GB2312" w:hAnsi="仿宋" w:eastAsia="仿宋_GB2312" w:cs="Times New Roman"/>
          <w:sz w:val="32"/>
          <w:szCs w:val="40"/>
        </w:rPr>
        <w:t>2020-2035年）</w:t>
      </w:r>
      <w:r>
        <w:rPr>
          <w:rFonts w:hint="eastAsia" w:ascii="仿宋_GB2312" w:hAnsi="仿宋" w:eastAsia="仿宋_GB2312" w:cs="Times New Roman"/>
          <w:sz w:val="32"/>
          <w:szCs w:val="40"/>
        </w:rPr>
        <w:t>》《盐城市区殡葬设施布局规划（2</w:t>
      </w:r>
      <w:r>
        <w:rPr>
          <w:rFonts w:ascii="仿宋_GB2312" w:hAnsi="仿宋" w:eastAsia="仿宋_GB2312" w:cs="Times New Roman"/>
          <w:sz w:val="32"/>
          <w:szCs w:val="40"/>
        </w:rPr>
        <w:t>021-2030</w:t>
      </w:r>
      <w:r>
        <w:rPr>
          <w:rFonts w:hint="eastAsia" w:ascii="仿宋_GB2312" w:hAnsi="仿宋" w:eastAsia="仿宋_GB2312" w:cs="Times New Roman"/>
          <w:sz w:val="32"/>
          <w:szCs w:val="40"/>
        </w:rPr>
        <w:t>）》等在内容体例、发展目标、设施规划、空间管控、建设引导、管理保障等方面的异同。此外，本评估还参考了相关地方标准，海南省《绿色殡葬》（</w:t>
      </w:r>
      <w:r>
        <w:rPr>
          <w:rFonts w:ascii="仿宋_GB2312" w:hAnsi="仿宋" w:eastAsia="仿宋_GB2312" w:cs="Times New Roman"/>
          <w:sz w:val="32"/>
          <w:szCs w:val="40"/>
        </w:rPr>
        <w:t>DB46/T 563.1-2021</w:t>
      </w:r>
      <w:r>
        <w:rPr>
          <w:rFonts w:hint="eastAsia" w:ascii="仿宋_GB2312" w:hAnsi="仿宋" w:eastAsia="仿宋_GB2312" w:cs="Times New Roman"/>
          <w:sz w:val="32"/>
          <w:szCs w:val="40"/>
        </w:rPr>
        <w:t>）、安徽省《农村公益性公墓建设规范》（</w:t>
      </w:r>
      <w:r>
        <w:rPr>
          <w:rFonts w:ascii="仿宋_GB2312" w:hAnsi="仿宋" w:eastAsia="仿宋_GB2312" w:cs="Times New Roman"/>
          <w:sz w:val="32"/>
          <w:szCs w:val="40"/>
        </w:rPr>
        <w:t>DB34/T 4180-2022</w:t>
      </w:r>
      <w:r>
        <w:rPr>
          <w:rFonts w:hint="eastAsia" w:ascii="仿宋_GB2312" w:hAnsi="仿宋" w:eastAsia="仿宋_GB2312" w:cs="Times New Roman"/>
          <w:sz w:val="32"/>
          <w:szCs w:val="40"/>
        </w:rPr>
        <w:t>）、重庆市《殡仪服务站建设规范》（</w:t>
      </w:r>
      <w:r>
        <w:rPr>
          <w:rFonts w:ascii="仿宋_GB2312" w:hAnsi="仿宋" w:eastAsia="仿宋_GB2312" w:cs="Times New Roman"/>
          <w:sz w:val="32"/>
          <w:szCs w:val="40"/>
        </w:rPr>
        <w:t>DB50/T 682-2016</w:t>
      </w:r>
      <w:r>
        <w:rPr>
          <w:rFonts w:hint="eastAsia" w:ascii="仿宋_GB2312" w:hAnsi="仿宋" w:eastAsia="仿宋_GB2312" w:cs="Times New Roman"/>
          <w:sz w:val="32"/>
          <w:szCs w:val="40"/>
        </w:rPr>
        <w:t>）。</w:t>
      </w:r>
    </w:p>
    <w:p>
      <w:pPr>
        <w:spacing w:line="560" w:lineRule="exact"/>
        <w:ind w:firstLine="642" w:firstLineChars="200"/>
        <w:rPr>
          <w:rFonts w:ascii="仿宋_GB2312" w:hAnsi="仿宋" w:eastAsia="仿宋_GB2312" w:cs="Times New Roman"/>
          <w:sz w:val="32"/>
          <w:szCs w:val="40"/>
        </w:rPr>
      </w:pPr>
      <w:r>
        <w:rPr>
          <w:rFonts w:hint="eastAsia" w:hAnsi="仿宋" w:eastAsia="楷体_GB2312" w:cs="Times New Roman"/>
          <w:b/>
          <w:bCs/>
          <w:sz w:val="32"/>
          <w:szCs w:val="40"/>
        </w:rPr>
        <w:t>（三）殡葬服务设施供给与需求研究。</w:t>
      </w:r>
      <w:r>
        <w:rPr>
          <w:rFonts w:hint="eastAsia" w:ascii="仿宋_GB2312" w:hAnsi="仿宋" w:eastAsia="仿宋_GB2312" w:cs="Times New Roman"/>
          <w:sz w:val="32"/>
          <w:szCs w:val="40"/>
        </w:rPr>
        <w:t>主要研究了2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北辰区死亡人口规模、殡葬设施数量和供给能力、“三沿六区”无坟化和散埋乱葬平迁数量，以及当前国人殡葬意愿与需求等，重点评估《专项规划》对北辰区殡葬服务设施规划基础、面临的实际问题和发展需求的回应是否充分合理。</w:t>
      </w:r>
    </w:p>
    <w:p>
      <w:pPr>
        <w:spacing w:line="560" w:lineRule="exact"/>
        <w:ind w:firstLine="642" w:firstLineChars="200"/>
        <w:rPr>
          <w:rFonts w:ascii="仿宋_GB2312" w:hAnsi="仿宋" w:eastAsia="仿宋_GB2312" w:cs="Times New Roman"/>
          <w:sz w:val="32"/>
          <w:szCs w:val="40"/>
        </w:rPr>
      </w:pPr>
      <w:r>
        <w:rPr>
          <w:rFonts w:hint="eastAsia" w:hAnsi="仿宋" w:eastAsia="楷体_GB2312" w:cs="Times New Roman"/>
          <w:b/>
          <w:bCs/>
          <w:sz w:val="32"/>
          <w:szCs w:val="40"/>
        </w:rPr>
        <w:t>（四）北辰区国土空间总体规划研究。</w:t>
      </w:r>
      <w:r>
        <w:rPr>
          <w:rFonts w:hint="eastAsia" w:ascii="仿宋_GB2312" w:hAnsi="仿宋" w:eastAsia="仿宋_GB2312" w:cs="Times New Roman"/>
          <w:sz w:val="32"/>
          <w:szCs w:val="40"/>
        </w:rPr>
        <w:t>主要研究了《天津市北辰区国土空间总体规划（2</w:t>
      </w:r>
      <w:r>
        <w:rPr>
          <w:rFonts w:ascii="仿宋_GB2312" w:hAnsi="仿宋" w:eastAsia="仿宋_GB2312" w:cs="Times New Roman"/>
          <w:sz w:val="32"/>
          <w:szCs w:val="40"/>
        </w:rPr>
        <w:t>021-2035</w:t>
      </w:r>
      <w:r>
        <w:rPr>
          <w:rFonts w:hint="eastAsia" w:ascii="仿宋_GB2312" w:hAnsi="仿宋" w:eastAsia="仿宋_GB2312" w:cs="Times New Roman"/>
          <w:sz w:val="32"/>
          <w:szCs w:val="40"/>
        </w:rPr>
        <w:t>年）》人口规模、国土空间格局、空间管控要求、规划实施保障等内容，重点评估《专项规划》的设施布局与全区的空间总体格局、其他空间管控是否契合，是否充分考虑京津冀协同区域定位、未来城市开发建设发展空间和规模，从而保障规划间的衔接和协调。</w:t>
      </w:r>
    </w:p>
    <w:p>
      <w:pPr>
        <w:pStyle w:val="22"/>
        <w:keepNext/>
        <w:keepLines/>
        <w:numPr>
          <w:ilvl w:val="0"/>
          <w:numId w:val="1"/>
        </w:numPr>
        <w:spacing w:line="560" w:lineRule="exact"/>
        <w:ind w:firstLineChars="0"/>
        <w:jc w:val="center"/>
        <w:outlineLvl w:val="0"/>
        <w:rPr>
          <w:rFonts w:ascii="Times New Roman" w:hAnsi="Times New Roman" w:eastAsia="黑体" w:cs="Times New Roman"/>
          <w:b/>
          <w:bCs/>
          <w:kern w:val="44"/>
          <w:sz w:val="36"/>
          <w:szCs w:val="52"/>
        </w:rPr>
      </w:pPr>
      <w:bookmarkStart w:id="4" w:name="_Toc119542305"/>
      <w:r>
        <w:rPr>
          <w:rFonts w:hint="eastAsia" w:ascii="Times New Roman" w:hAnsi="Times New Roman" w:eastAsia="黑体" w:cs="Times New Roman"/>
          <w:b/>
          <w:bCs/>
          <w:kern w:val="44"/>
          <w:sz w:val="36"/>
          <w:szCs w:val="52"/>
        </w:rPr>
        <w:t>风险评估</w:t>
      </w:r>
      <w:bookmarkEnd w:id="4"/>
    </w:p>
    <w:p>
      <w:pPr>
        <w:pStyle w:val="3"/>
        <w:spacing w:before="0" w:after="0" w:line="560" w:lineRule="exact"/>
        <w:ind w:firstLine="640" w:firstLineChars="200"/>
        <w:rPr>
          <w:rFonts w:ascii="黑体" w:hAnsi="黑体" w:eastAsia="黑体" w:cs="Times New Roman"/>
          <w:b w:val="0"/>
          <w:bCs w:val="0"/>
          <w:kern w:val="44"/>
          <w:szCs w:val="48"/>
        </w:rPr>
      </w:pPr>
      <w:bookmarkStart w:id="5" w:name="_Toc119542306"/>
      <w:r>
        <w:rPr>
          <w:rFonts w:ascii="黑体" w:hAnsi="黑体" w:eastAsia="黑体" w:cs="Times New Roman"/>
          <w:b w:val="0"/>
          <w:bCs w:val="0"/>
          <w:kern w:val="44"/>
          <w:szCs w:val="48"/>
        </w:rPr>
        <w:t>2.1.</w:t>
      </w:r>
      <w:r>
        <w:rPr>
          <w:rFonts w:hint="eastAsia" w:ascii="黑体" w:hAnsi="黑体" w:eastAsia="黑体" w:cs="Times New Roman"/>
          <w:b w:val="0"/>
          <w:bCs w:val="0"/>
          <w:kern w:val="44"/>
          <w:szCs w:val="48"/>
        </w:rPr>
        <w:t>合法性评估</w:t>
      </w:r>
      <w:bookmarkEnd w:id="5"/>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合法性是重大行政决策的基础，不仅可以保障规划决策与法律法规、国家政策和上位规划的一致性，还有利于规划实施、工作协同和连续性配套制度的出台，从而避免规划在落实中效果打折扣的风险。北辰区民政局作为《专项规划》编制单位，符合《天津市重大行政决策程序规定》规定。此外，北辰区民政局还委托中科院建筑设计研究院有限公司提供专业规划设计服务，该公司是直属中国科学院的国有建筑设计与研究机构，拥有城乡规划编制甲级，在公共服务设施规划领域经验丰富。</w:t>
      </w:r>
    </w:p>
    <w:p>
      <w:pPr>
        <w:pStyle w:val="3"/>
        <w:spacing w:before="0" w:after="0" w:line="560" w:lineRule="exact"/>
        <w:ind w:firstLine="640" w:firstLineChars="200"/>
        <w:rPr>
          <w:rFonts w:ascii="黑体" w:hAnsi="黑体" w:eastAsia="黑体" w:cs="Times New Roman"/>
          <w:b w:val="0"/>
          <w:bCs w:val="0"/>
          <w:kern w:val="44"/>
          <w:szCs w:val="48"/>
        </w:rPr>
      </w:pPr>
      <w:bookmarkStart w:id="6" w:name="_Toc119542307"/>
      <w:r>
        <w:rPr>
          <w:rFonts w:ascii="黑体" w:hAnsi="黑体" w:eastAsia="黑体" w:cs="Times New Roman"/>
          <w:b w:val="0"/>
          <w:bCs w:val="0"/>
          <w:kern w:val="44"/>
          <w:szCs w:val="48"/>
        </w:rPr>
        <w:t>2.2.</w:t>
      </w:r>
      <w:r>
        <w:rPr>
          <w:rFonts w:hint="eastAsia" w:ascii="黑体" w:hAnsi="黑体" w:eastAsia="黑体" w:cs="Times New Roman"/>
          <w:b w:val="0"/>
          <w:bCs w:val="0"/>
          <w:kern w:val="44"/>
          <w:szCs w:val="48"/>
        </w:rPr>
        <w:t>规范性评估</w:t>
      </w:r>
      <w:bookmarkEnd w:id="6"/>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编制流程和内容规范性是规划编制的基本要求，是减少和降低决策风险的重要基础，也是规划科学性、合理性、可行性的重要保障。此外，规划编制规范性还有利于规划实施的效率以及获得利益相关主体的认同，提高规划实施的参与度，从而减少规划实施的风险和舆论风险。</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楷体_GB2312" w:cs="Times New Roman"/>
          <w:b/>
          <w:bCs/>
          <w:sz w:val="32"/>
          <w:szCs w:val="40"/>
        </w:rPr>
        <w:t>（一）高度重视，精心组织，认真调研，有序编制。</w:t>
      </w:r>
      <w:r>
        <w:rPr>
          <w:rFonts w:hint="eastAsia" w:ascii="仿宋_GB2312" w:hAnsi="仿宋" w:eastAsia="仿宋_GB2312" w:cs="Times New Roman"/>
          <w:sz w:val="32"/>
          <w:szCs w:val="40"/>
        </w:rPr>
        <w:t>《专项规划》研究编制工作涉及区发展改革委、住建委、农业农村委、卫健委、城管委、文明办、公安局、规自局、生态环境局、财政局、人社局等多个部门，覆盖领域广、工作任务重。区委区政府和区民政局对编制工作高度重视，在区领导和市局领导的大力支持下，经过精心组织、扎实研究、有序推进，编制工作得以顺利开展。</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2</w:t>
      </w:r>
      <w:r>
        <w:rPr>
          <w:rFonts w:ascii="仿宋_GB2312" w:hAnsi="仿宋" w:eastAsia="仿宋_GB2312" w:cs="Times New Roman"/>
          <w:sz w:val="32"/>
          <w:szCs w:val="40"/>
        </w:rPr>
        <w:t>020</w:t>
      </w:r>
      <w:r>
        <w:rPr>
          <w:rFonts w:hint="eastAsia" w:ascii="仿宋_GB2312" w:hAnsi="仿宋" w:eastAsia="仿宋_GB2312" w:cs="Times New Roman"/>
          <w:sz w:val="32"/>
          <w:szCs w:val="40"/>
        </w:rPr>
        <w:t>年1月，区民政局按照北辰区土地专项巡视反馈问题整改要求，对公益设施类违法墓地进行分类处置，按照国土空间规划编制，预留空间，完善合法手续，依法依规整治到位。</w:t>
      </w:r>
      <w:r>
        <w:rPr>
          <w:rFonts w:ascii="仿宋_GB2312" w:hAnsi="仿宋" w:eastAsia="仿宋_GB2312" w:cs="Times New Roman"/>
          <w:sz w:val="32"/>
          <w:szCs w:val="40"/>
        </w:rPr>
        <w:t>2020年9月，北辰区开展殡葬行业大排查大整治专项工作，对全区殡葬领域进行了全面排查核查，共梳理出5大类问题，对排查出的问题边查边整、立行立改，针对殡葬设施短板问题，纳入殡葬专项规划中。</w:t>
      </w:r>
    </w:p>
    <w:p>
      <w:pPr>
        <w:spacing w:line="560" w:lineRule="exact"/>
        <w:ind w:firstLine="640" w:firstLineChars="200"/>
        <w:rPr>
          <w:rFonts w:ascii="仿宋_GB2312" w:hAnsi="仿宋" w:eastAsia="仿宋_GB2312" w:cs="Times New Roman"/>
          <w:sz w:val="32"/>
          <w:szCs w:val="40"/>
        </w:rPr>
      </w:pPr>
      <w:r>
        <w:rPr>
          <w:rFonts w:ascii="仿宋_GB2312" w:hAnsi="仿宋" w:eastAsia="仿宋_GB2312" w:cs="Times New Roman"/>
          <w:sz w:val="32"/>
          <w:szCs w:val="40"/>
        </w:rPr>
        <w:t>2020年9月至2021年4月，</w:t>
      </w:r>
      <w:r>
        <w:rPr>
          <w:rFonts w:hint="eastAsia" w:ascii="仿宋_GB2312" w:hAnsi="仿宋" w:eastAsia="仿宋_GB2312" w:cs="Times New Roman"/>
          <w:sz w:val="32"/>
          <w:szCs w:val="40"/>
        </w:rPr>
        <w:t>区民政</w:t>
      </w:r>
      <w:r>
        <w:rPr>
          <w:rFonts w:ascii="仿宋_GB2312" w:hAnsi="仿宋" w:eastAsia="仿宋_GB2312" w:cs="Times New Roman"/>
          <w:sz w:val="32"/>
          <w:szCs w:val="40"/>
        </w:rPr>
        <w:t>局牵头</w:t>
      </w:r>
      <w:r>
        <w:rPr>
          <w:rFonts w:hint="eastAsia" w:ascii="仿宋_GB2312" w:hAnsi="仿宋" w:eastAsia="仿宋_GB2312" w:cs="Times New Roman"/>
          <w:sz w:val="32"/>
          <w:szCs w:val="40"/>
        </w:rPr>
        <w:t>，与</w:t>
      </w:r>
      <w:r>
        <w:rPr>
          <w:rFonts w:ascii="仿宋_GB2312" w:hAnsi="仿宋" w:eastAsia="仿宋_GB2312" w:cs="Times New Roman"/>
          <w:sz w:val="32"/>
          <w:szCs w:val="40"/>
        </w:rPr>
        <w:t>设计单位深入各镇街、各殡葬服务点位摸排调研，起草形成了《</w:t>
      </w:r>
      <w:r>
        <w:rPr>
          <w:rFonts w:hint="eastAsia" w:ascii="仿宋_GB2312" w:hAnsi="仿宋" w:eastAsia="仿宋_GB2312" w:cs="Times New Roman"/>
          <w:sz w:val="32"/>
          <w:szCs w:val="40"/>
        </w:rPr>
        <w:t>专项规划》</w:t>
      </w:r>
      <w:r>
        <w:rPr>
          <w:rFonts w:ascii="仿宋_GB2312" w:hAnsi="仿宋" w:eastAsia="仿宋_GB2312" w:cs="Times New Roman"/>
          <w:sz w:val="32"/>
          <w:szCs w:val="40"/>
        </w:rPr>
        <w:t>初稿，会同规划资源北辰分局等单位先后进行5轮修改后，分别书面征求天津市民政局和各镇街、开发区、区发改委、区住建委等单位意见建议。修改后，上报区分管领导审阅，共计吸收采纳意见19条，对《专项规划》进行修改完善。并于2022年9月22日召开专家评审会，经专家质询后进行修改，最终形</w:t>
      </w:r>
      <w:r>
        <w:rPr>
          <w:rFonts w:hint="eastAsia" w:ascii="仿宋_GB2312" w:hAnsi="仿宋" w:eastAsia="仿宋_GB2312" w:cs="Times New Roman"/>
          <w:sz w:val="32"/>
          <w:szCs w:val="40"/>
        </w:rPr>
        <w:t>征求意见</w:t>
      </w:r>
      <w:r>
        <w:rPr>
          <w:rFonts w:ascii="仿宋_GB2312" w:hAnsi="仿宋" w:eastAsia="仿宋_GB2312" w:cs="Times New Roman"/>
          <w:sz w:val="32"/>
          <w:szCs w:val="40"/>
        </w:rPr>
        <w:t>稿。</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楷体_GB2312" w:cs="Times New Roman"/>
          <w:b/>
          <w:bCs/>
          <w:sz w:val="32"/>
          <w:szCs w:val="40"/>
        </w:rPr>
        <w:t>（二）与上位政策、法规、规划保持一致。</w:t>
      </w:r>
      <w:r>
        <w:rPr>
          <w:rFonts w:hint="eastAsia" w:ascii="仿宋_GB2312" w:hAnsi="仿宋" w:eastAsia="仿宋_GB2312" w:cs="Times New Roman"/>
          <w:sz w:val="32"/>
          <w:szCs w:val="40"/>
        </w:rPr>
        <w:t>第一，《专项规划》的规划期限，近期至2</w:t>
      </w:r>
      <w:r>
        <w:rPr>
          <w:rFonts w:ascii="仿宋_GB2312" w:hAnsi="仿宋" w:eastAsia="仿宋_GB2312" w:cs="Times New Roman"/>
          <w:sz w:val="32"/>
          <w:szCs w:val="40"/>
        </w:rPr>
        <w:t>025</w:t>
      </w:r>
      <w:r>
        <w:rPr>
          <w:rFonts w:hint="eastAsia" w:ascii="仿宋_GB2312" w:hAnsi="仿宋" w:eastAsia="仿宋_GB2312" w:cs="Times New Roman"/>
          <w:sz w:val="32"/>
          <w:szCs w:val="40"/>
        </w:rPr>
        <w:t>年，与“十四五”规划保持一致，远期至2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与国土空间总体规划保持一致。第二，《专项规划》的规划目标与上位政策规划一致，如加快基层殡仪设施建设、加快散埋乱葬平迁、实现“三沿六区”无坟化、加快殡葬服务信息化、标准化建设等。第三，《专项规划》的开发建设导引与《城市公益性公墓建设标准》等国家标准和国内同类规划基本一致，如格位安放比例≥5</w:t>
      </w:r>
      <w:r>
        <w:rPr>
          <w:rFonts w:ascii="仿宋_GB2312" w:hAnsi="仿宋" w:eastAsia="仿宋_GB2312" w:cs="Times New Roman"/>
          <w:sz w:val="32"/>
          <w:szCs w:val="40"/>
        </w:rPr>
        <w:t>0%</w:t>
      </w:r>
      <w:r>
        <w:rPr>
          <w:rFonts w:hint="eastAsia" w:ascii="仿宋_GB2312" w:hAnsi="仿宋" w:eastAsia="仿宋_GB2312" w:cs="Times New Roman"/>
          <w:sz w:val="32"/>
          <w:szCs w:val="40"/>
        </w:rPr>
        <w:t>、墓穴安葬比例≤4</w:t>
      </w:r>
      <w:r>
        <w:rPr>
          <w:rFonts w:ascii="仿宋_GB2312" w:hAnsi="仿宋" w:eastAsia="仿宋_GB2312" w:cs="Times New Roman"/>
          <w:sz w:val="32"/>
          <w:szCs w:val="40"/>
        </w:rPr>
        <w:t>0%</w:t>
      </w:r>
      <w:r>
        <w:rPr>
          <w:rFonts w:hint="eastAsia" w:ascii="仿宋_GB2312" w:hAnsi="仿宋" w:eastAsia="仿宋_GB2312" w:cs="Times New Roman"/>
          <w:sz w:val="32"/>
          <w:szCs w:val="40"/>
        </w:rPr>
        <w:t>。第四，《专项规划》的规划理念和原则与民政部和天津市殡葬改革和殡葬服务供给规划一致，如坚持以人民为中心、以满足群众殡葬需求作为出发点和落脚点；坚持绿色殡葬的生态文明理念，鼓励海葬、草坪葬、树葬等节地生态安葬；坚持殡葬设施规划与殡葬改革结合，坚持创新理念，推动殡葬行业由“资源依赖”向“要素驱动”“创新驱动”转变，打造高品质殡葬服务；突出殡葬服务的公益性，强调相对均衡、因地制宜、差异化配置的规划原则。</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楷体_GB2312" w:cs="Times New Roman"/>
          <w:b/>
          <w:bCs/>
          <w:sz w:val="32"/>
          <w:szCs w:val="40"/>
        </w:rPr>
        <w:t>（三）充分征求相关部门、各街镇意见。</w:t>
      </w:r>
      <w:r>
        <w:rPr>
          <w:rFonts w:ascii="仿宋_GB2312" w:hAnsi="仿宋" w:eastAsia="仿宋_GB2312" w:cs="Times New Roman"/>
          <w:sz w:val="32"/>
          <w:szCs w:val="40"/>
        </w:rPr>
        <w:t>2023</w:t>
      </w:r>
      <w:r>
        <w:rPr>
          <w:rFonts w:hint="eastAsia" w:ascii="仿宋_GB2312" w:hAnsi="仿宋" w:eastAsia="仿宋_GB2312" w:cs="Times New Roman"/>
          <w:sz w:val="32"/>
          <w:szCs w:val="40"/>
        </w:rPr>
        <w:t>年2月和9月，区民政局分两次向各相关部门、各街镇征求意见，截止日期前，共</w:t>
      </w:r>
      <w:r>
        <w:rPr>
          <w:rFonts w:ascii="仿宋_GB2312" w:hAnsi="仿宋" w:eastAsia="仿宋_GB2312" w:cs="Times New Roman"/>
          <w:sz w:val="32"/>
          <w:szCs w:val="40"/>
        </w:rPr>
        <w:t>3个单位反馈意见，全部采纳并予以修改。其中，区</w:t>
      </w:r>
      <w:r>
        <w:rPr>
          <w:rFonts w:hint="eastAsia" w:ascii="仿宋_GB2312" w:hAnsi="仿宋" w:eastAsia="仿宋_GB2312" w:cs="Times New Roman"/>
          <w:sz w:val="32"/>
          <w:szCs w:val="40"/>
        </w:rPr>
        <w:t>委</w:t>
      </w:r>
      <w:r>
        <w:rPr>
          <w:rFonts w:ascii="仿宋_GB2312" w:hAnsi="仿宋" w:eastAsia="仿宋_GB2312" w:cs="Times New Roman"/>
          <w:sz w:val="32"/>
          <w:szCs w:val="40"/>
        </w:rPr>
        <w:t>政法委反馈“建议对拟征地所设镇街要充分征求意见；涉及回民墓地要综合考量，充分尊重民族习惯和信仰；开展散埋乱葬专项治理要充分动员，避免引发不稳定情况”，已采纳意见。</w:t>
      </w:r>
    </w:p>
    <w:p>
      <w:pPr>
        <w:spacing w:line="560" w:lineRule="exact"/>
        <w:ind w:firstLine="640" w:firstLineChars="200"/>
        <w:rPr>
          <w:rFonts w:ascii="仿宋_GB2312" w:hAnsi="仿宋" w:eastAsia="仿宋_GB2312" w:cs="Times New Roman"/>
          <w:sz w:val="32"/>
          <w:szCs w:val="40"/>
        </w:rPr>
      </w:pPr>
      <w:r>
        <w:rPr>
          <w:rFonts w:ascii="仿宋_GB2312" w:hAnsi="仿宋" w:eastAsia="仿宋_GB2312" w:cs="Times New Roman"/>
          <w:sz w:val="32"/>
          <w:szCs w:val="40"/>
        </w:rPr>
        <w:t>区司法局反馈“建议审核规划所依据的法律、法规、政策、技术规范与标准等是否现行有效；建议将第54页殡葬管理横向联动合作框架图中司法下的职能改为‘完善殡葬行政规范性文件’”，已采纳意见。</w:t>
      </w:r>
    </w:p>
    <w:p>
      <w:pPr>
        <w:spacing w:line="560" w:lineRule="exact"/>
        <w:ind w:firstLine="640" w:firstLineChars="200"/>
        <w:rPr>
          <w:rFonts w:ascii="仿宋_GB2312" w:hAnsi="仿宋" w:eastAsia="仿宋_GB2312" w:cs="Times New Roman"/>
          <w:sz w:val="32"/>
          <w:szCs w:val="40"/>
        </w:rPr>
      </w:pPr>
      <w:r>
        <w:rPr>
          <w:rFonts w:ascii="仿宋_GB2312" w:hAnsi="仿宋" w:eastAsia="仿宋_GB2312" w:cs="Times New Roman"/>
          <w:sz w:val="32"/>
          <w:szCs w:val="40"/>
        </w:rPr>
        <w:t>区市场监管局反馈“建议修改为‘在经营性公墓从事殡仪馆、火葬场、骨灰堂、</w:t>
      </w:r>
      <w:r>
        <w:rPr>
          <w:rFonts w:hint="eastAsia" w:ascii="仿宋_GB2312" w:hAnsi="仿宋" w:eastAsia="仿宋_GB2312" w:cs="Times New Roman"/>
          <w:sz w:val="32"/>
          <w:szCs w:val="40"/>
        </w:rPr>
        <w:t>殡仪服务站和公墓的经营活动的，由市场监管部门颁发营业执照’”，已采纳意见。</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楷体_GB2312" w:cs="Times New Roman"/>
          <w:b/>
          <w:bCs/>
          <w:sz w:val="32"/>
          <w:szCs w:val="40"/>
        </w:rPr>
        <w:t>（四）广泛征求采纳特定群体和专家意见。</w:t>
      </w:r>
      <w:r>
        <w:rPr>
          <w:rFonts w:ascii="仿宋_GB2312" w:hAnsi="仿宋" w:eastAsia="仿宋_GB2312" w:cs="Times New Roman"/>
          <w:sz w:val="32"/>
          <w:szCs w:val="40"/>
        </w:rPr>
        <w:t>2023年9月6日，区民政局以问卷调查的形式向全区殡葬行业从业人员征求意见，截止日期前，共回收有效问卷49份，含线上31份，线下18份。其中，经营性公墓、公益性骨灰堂、殡仪服务公司、殡葬用品店分别占</w:t>
      </w:r>
      <w:r>
        <w:rPr>
          <w:rFonts w:hint="eastAsia" w:ascii="仿宋_GB2312" w:hAnsi="仿宋" w:eastAsia="仿宋_GB2312" w:cs="Times New Roman"/>
          <w:sz w:val="32"/>
          <w:szCs w:val="40"/>
        </w:rPr>
        <w:t>比</w:t>
      </w:r>
      <w:r>
        <w:rPr>
          <w:rFonts w:ascii="仿宋_GB2312" w:hAnsi="仿宋" w:eastAsia="仿宋_GB2312" w:cs="Times New Roman"/>
          <w:sz w:val="32"/>
          <w:szCs w:val="40"/>
        </w:rPr>
        <w:t>4.17%、34.69%、26.45%</w:t>
      </w:r>
      <w:r>
        <w:rPr>
          <w:rFonts w:hint="eastAsia" w:ascii="仿宋_GB2312" w:hAnsi="仿宋" w:eastAsia="仿宋_GB2312" w:cs="Times New Roman"/>
          <w:sz w:val="32"/>
          <w:szCs w:val="40"/>
        </w:rPr>
        <w:t>和</w:t>
      </w:r>
      <w:r>
        <w:rPr>
          <w:rFonts w:ascii="仿宋_GB2312" w:hAnsi="仿宋" w:eastAsia="仿宋_GB2312" w:cs="Times New Roman"/>
          <w:sz w:val="32"/>
          <w:szCs w:val="40"/>
        </w:rPr>
        <w:t>34.69%</w:t>
      </w:r>
      <w:r>
        <w:rPr>
          <w:rFonts w:hint="eastAsia" w:ascii="仿宋_GB2312" w:hAnsi="仿宋" w:eastAsia="仿宋_GB2312" w:cs="Times New Roman"/>
          <w:sz w:val="32"/>
          <w:szCs w:val="40"/>
        </w:rPr>
        <w:t>。调查数据显示</w:t>
      </w:r>
      <w:r>
        <w:rPr>
          <w:rFonts w:ascii="仿宋_GB2312" w:hAnsi="仿宋" w:eastAsia="仿宋_GB2312" w:cs="Times New Roman"/>
          <w:sz w:val="32"/>
          <w:szCs w:val="40"/>
        </w:rPr>
        <w:t>，91.83%的受访者认为《</w:t>
      </w:r>
      <w:r>
        <w:rPr>
          <w:rFonts w:hint="eastAsia" w:ascii="仿宋_GB2312" w:hAnsi="仿宋" w:eastAsia="仿宋_GB2312" w:cs="Times New Roman"/>
          <w:sz w:val="32"/>
          <w:szCs w:val="40"/>
        </w:rPr>
        <w:t>专项</w:t>
      </w:r>
      <w:r>
        <w:rPr>
          <w:rFonts w:ascii="仿宋_GB2312" w:hAnsi="仿宋" w:eastAsia="仿宋_GB2312" w:cs="Times New Roman"/>
          <w:sz w:val="32"/>
          <w:szCs w:val="40"/>
        </w:rPr>
        <w:t>规划》的制定非常有必要，93.89%的受访者对《</w:t>
      </w:r>
      <w:r>
        <w:rPr>
          <w:rFonts w:hint="eastAsia" w:ascii="仿宋_GB2312" w:hAnsi="仿宋" w:eastAsia="仿宋_GB2312" w:cs="Times New Roman"/>
          <w:sz w:val="32"/>
          <w:szCs w:val="40"/>
        </w:rPr>
        <w:t>专项</w:t>
      </w:r>
      <w:r>
        <w:rPr>
          <w:rFonts w:ascii="仿宋_GB2312" w:hAnsi="仿宋" w:eastAsia="仿宋_GB2312" w:cs="Times New Roman"/>
          <w:sz w:val="32"/>
          <w:szCs w:val="40"/>
        </w:rPr>
        <w:t>规划》的制定持支持态度，表示无意见或积极配合者占</w:t>
      </w:r>
      <w:r>
        <w:rPr>
          <w:rFonts w:hint="eastAsia" w:ascii="仿宋_GB2312" w:hAnsi="仿宋" w:eastAsia="仿宋_GB2312" w:cs="Times New Roman"/>
          <w:sz w:val="32"/>
          <w:szCs w:val="40"/>
        </w:rPr>
        <w:t>到</w:t>
      </w:r>
      <w:r>
        <w:rPr>
          <w:rFonts w:ascii="仿宋_GB2312" w:hAnsi="仿宋" w:eastAsia="仿宋_GB2312" w:cs="Times New Roman"/>
          <w:sz w:val="32"/>
          <w:szCs w:val="40"/>
        </w:rPr>
        <w:t>95.92%，</w:t>
      </w:r>
      <w:r>
        <w:rPr>
          <w:rFonts w:hint="eastAsia" w:ascii="仿宋_GB2312" w:hAnsi="仿宋" w:eastAsia="仿宋_GB2312" w:cs="Times New Roman"/>
          <w:sz w:val="32"/>
          <w:szCs w:val="40"/>
        </w:rPr>
        <w:t>剩余</w:t>
      </w:r>
      <w:r>
        <w:rPr>
          <w:rFonts w:ascii="仿宋_GB2312" w:hAnsi="仿宋" w:eastAsia="仿宋_GB2312" w:cs="Times New Roman"/>
          <w:sz w:val="32"/>
          <w:szCs w:val="40"/>
        </w:rPr>
        <w:t>意见主要为保障从业人员利益、整治殡葬行业乱象</w:t>
      </w:r>
      <w:r>
        <w:rPr>
          <w:rFonts w:hint="eastAsia" w:ascii="仿宋_GB2312" w:hAnsi="仿宋" w:eastAsia="仿宋_GB2312" w:cs="Times New Roman"/>
          <w:sz w:val="32"/>
          <w:szCs w:val="40"/>
        </w:rPr>
        <w:t>等</w:t>
      </w:r>
      <w:r>
        <w:rPr>
          <w:rFonts w:ascii="仿宋_GB2312" w:hAnsi="仿宋" w:eastAsia="仿宋_GB2312" w:cs="Times New Roman"/>
          <w:sz w:val="32"/>
          <w:szCs w:val="40"/>
        </w:rPr>
        <w:t>，相关内容均已在《</w:t>
      </w:r>
      <w:r>
        <w:rPr>
          <w:rFonts w:hint="eastAsia" w:ascii="仿宋_GB2312" w:hAnsi="仿宋" w:eastAsia="仿宋_GB2312" w:cs="Times New Roman"/>
          <w:sz w:val="32"/>
          <w:szCs w:val="40"/>
        </w:rPr>
        <w:t>专项</w:t>
      </w:r>
      <w:r>
        <w:rPr>
          <w:rFonts w:ascii="仿宋_GB2312" w:hAnsi="仿宋" w:eastAsia="仿宋_GB2312" w:cs="Times New Roman"/>
          <w:sz w:val="32"/>
          <w:szCs w:val="40"/>
        </w:rPr>
        <w:t>规划》第五章“政策落实与管理保障”中</w:t>
      </w:r>
      <w:r>
        <w:rPr>
          <w:rFonts w:hint="eastAsia" w:ascii="仿宋_GB2312" w:hAnsi="仿宋" w:eastAsia="仿宋_GB2312" w:cs="Times New Roman"/>
          <w:sz w:val="32"/>
          <w:szCs w:val="40"/>
        </w:rPr>
        <w:t>体现。</w:t>
      </w:r>
    </w:p>
    <w:p>
      <w:pPr>
        <w:spacing w:line="560" w:lineRule="exact"/>
        <w:ind w:firstLine="640" w:firstLineChars="200"/>
        <w:rPr>
          <w:rFonts w:ascii="仿宋_GB2312" w:hAnsi="仿宋" w:eastAsia="仿宋_GB2312" w:cs="Times New Roman"/>
          <w:sz w:val="32"/>
          <w:szCs w:val="40"/>
        </w:rPr>
      </w:pPr>
      <w:r>
        <w:rPr>
          <w:rFonts w:ascii="仿宋_GB2312" w:hAnsi="仿宋" w:eastAsia="仿宋_GB2312" w:cs="Times New Roman"/>
          <w:sz w:val="32"/>
          <w:szCs w:val="40"/>
        </w:rPr>
        <w:t>2022年9月22日，区民政局召开专家评审会，共计邀请5位规划方面的专家对《</w:t>
      </w:r>
      <w:r>
        <w:rPr>
          <w:rFonts w:hint="eastAsia" w:ascii="仿宋_GB2312" w:hAnsi="仿宋" w:eastAsia="仿宋_GB2312" w:cs="Times New Roman"/>
          <w:sz w:val="32"/>
          <w:szCs w:val="40"/>
        </w:rPr>
        <w:t>专项</w:t>
      </w:r>
      <w:r>
        <w:rPr>
          <w:rFonts w:ascii="仿宋_GB2312" w:hAnsi="仿宋" w:eastAsia="仿宋_GB2312" w:cs="Times New Roman"/>
          <w:sz w:val="32"/>
          <w:szCs w:val="40"/>
        </w:rPr>
        <w:t>规划》</w:t>
      </w:r>
      <w:r>
        <w:rPr>
          <w:rFonts w:hint="eastAsia" w:ascii="仿宋_GB2312" w:hAnsi="仿宋" w:eastAsia="仿宋_GB2312" w:cs="Times New Roman"/>
          <w:sz w:val="32"/>
          <w:szCs w:val="40"/>
        </w:rPr>
        <w:t>进行评审，专家组</w:t>
      </w:r>
      <w:r>
        <w:rPr>
          <w:rFonts w:ascii="仿宋_GB2312" w:hAnsi="仿宋" w:eastAsia="仿宋_GB2312" w:cs="Times New Roman"/>
          <w:sz w:val="32"/>
          <w:szCs w:val="40"/>
        </w:rPr>
        <w:t>提出5条修改意见：“1.建议</w:t>
      </w:r>
      <w:r>
        <w:rPr>
          <w:rFonts w:hint="eastAsia" w:ascii="仿宋_GB2312" w:hAnsi="仿宋" w:eastAsia="仿宋_GB2312" w:cs="Times New Roman"/>
          <w:sz w:val="32"/>
          <w:szCs w:val="40"/>
        </w:rPr>
        <w:t>与市级规划部分的衔接再落实一下；一定要征求镇里和村里的意见，尤其是涉及到选址位置和原位置有变化的部分。</w:t>
      </w:r>
      <w:r>
        <w:rPr>
          <w:rFonts w:ascii="仿宋_GB2312" w:hAnsi="仿宋" w:eastAsia="仿宋_GB2312" w:cs="Times New Roman"/>
          <w:sz w:val="32"/>
          <w:szCs w:val="40"/>
        </w:rPr>
        <w:t>2.建议</w:t>
      </w:r>
      <w:r>
        <w:rPr>
          <w:rFonts w:hint="eastAsia" w:ascii="仿宋_GB2312" w:hAnsi="仿宋" w:eastAsia="仿宋_GB2312" w:cs="Times New Roman"/>
          <w:sz w:val="32"/>
          <w:szCs w:val="40"/>
        </w:rPr>
        <w:t>对于涉及使用原非特殊用地的选址，一定要仔细核查土地调查数据，避免占用基本农田、林地等；做好与市、区两级专项的衔接。3</w:t>
      </w:r>
      <w:r>
        <w:rPr>
          <w:rFonts w:ascii="仿宋_GB2312" w:hAnsi="仿宋" w:eastAsia="仿宋_GB2312" w:cs="Times New Roman"/>
          <w:sz w:val="32"/>
          <w:szCs w:val="40"/>
        </w:rPr>
        <w:t>.</w:t>
      </w:r>
      <w:r>
        <w:rPr>
          <w:rFonts w:hint="eastAsia" w:ascii="仿宋_GB2312" w:hAnsi="仿宋" w:eastAsia="仿宋_GB2312" w:cs="Times New Roman"/>
          <w:sz w:val="32"/>
          <w:szCs w:val="40"/>
        </w:rPr>
        <w:t>建议明晰规划文本的表达方式，力求简洁明了；部分图纸内容表达不够清晰，建议细化；建议与区级国空和市级专项进行衔接；用地布局中进一步核查与三区三线等重要控制线的关系。4</w:t>
      </w:r>
      <w:r>
        <w:rPr>
          <w:rFonts w:ascii="仿宋_GB2312" w:hAnsi="仿宋" w:eastAsia="仿宋_GB2312" w:cs="Times New Roman"/>
          <w:sz w:val="32"/>
          <w:szCs w:val="40"/>
        </w:rPr>
        <w:t>.建议</w:t>
      </w:r>
      <w:r>
        <w:rPr>
          <w:rFonts w:hint="eastAsia" w:ascii="仿宋_GB2312" w:hAnsi="仿宋" w:eastAsia="仿宋_GB2312" w:cs="Times New Roman"/>
          <w:sz w:val="32"/>
          <w:szCs w:val="40"/>
        </w:rPr>
        <w:t>进一步对接天津市殡葬设施布局规划中的相关内容；选址要衔接最新的三区三线划定成果和现状情况。5</w:t>
      </w:r>
      <w:r>
        <w:rPr>
          <w:rFonts w:ascii="仿宋_GB2312" w:hAnsi="仿宋" w:eastAsia="仿宋_GB2312" w:cs="Times New Roman"/>
          <w:sz w:val="32"/>
          <w:szCs w:val="40"/>
        </w:rPr>
        <w:t>.</w:t>
      </w:r>
      <w:r>
        <w:rPr>
          <w:rFonts w:hint="eastAsia" w:ascii="仿宋_GB2312" w:hAnsi="仿宋" w:eastAsia="仿宋_GB2312" w:cs="Times New Roman"/>
          <w:sz w:val="32"/>
          <w:szCs w:val="40"/>
        </w:rPr>
        <w:t>建议进一步明确相关名词的表述，做到前后统一；涉及到用地变化的部分，一定要做好与村民的沟通协调；本规划可以作为国空众多专项规划中的一项，未来要纳入国土空间规划，建议提前做好协调衔接。</w:t>
      </w:r>
      <w:r>
        <w:rPr>
          <w:rFonts w:ascii="仿宋_GB2312" w:hAnsi="仿宋" w:eastAsia="仿宋_GB2312" w:cs="Times New Roman"/>
          <w:sz w:val="32"/>
          <w:szCs w:val="40"/>
        </w:rPr>
        <w:t>”</w:t>
      </w:r>
      <w:r>
        <w:rPr>
          <w:rFonts w:hint="eastAsia" w:ascii="仿宋_GB2312" w:hAnsi="仿宋" w:eastAsia="仿宋_GB2312" w:cs="Times New Roman"/>
          <w:sz w:val="32"/>
          <w:szCs w:val="40"/>
        </w:rPr>
        <w:t>，</w:t>
      </w:r>
      <w:r>
        <w:rPr>
          <w:rFonts w:ascii="仿宋_GB2312" w:hAnsi="仿宋" w:eastAsia="仿宋_GB2312" w:cs="Times New Roman"/>
          <w:sz w:val="32"/>
          <w:szCs w:val="40"/>
        </w:rPr>
        <w:t>全部予以采纳。</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楷体_GB2312" w:cs="Times New Roman"/>
          <w:b/>
          <w:bCs/>
          <w:sz w:val="32"/>
          <w:szCs w:val="40"/>
        </w:rPr>
        <w:t>（五）主动向社会公示并公开征求意见。</w:t>
      </w:r>
      <w:r>
        <w:rPr>
          <w:rFonts w:hint="eastAsia" w:ascii="仿宋_GB2312" w:hAnsi="仿宋" w:eastAsia="仿宋_GB2312" w:cs="Times New Roman"/>
          <w:sz w:val="32"/>
          <w:szCs w:val="40"/>
        </w:rPr>
        <w:t>区民政局在2</w:t>
      </w:r>
      <w:r>
        <w:rPr>
          <w:rFonts w:ascii="仿宋_GB2312" w:hAnsi="仿宋" w:eastAsia="仿宋_GB2312" w:cs="Times New Roman"/>
          <w:sz w:val="32"/>
          <w:szCs w:val="40"/>
        </w:rPr>
        <w:t>021</w:t>
      </w:r>
      <w:r>
        <w:rPr>
          <w:rFonts w:hint="eastAsia" w:ascii="仿宋_GB2312" w:hAnsi="仿宋" w:eastAsia="仿宋_GB2312" w:cs="Times New Roman"/>
          <w:sz w:val="32"/>
          <w:szCs w:val="40"/>
        </w:rPr>
        <w:t>年1</w:t>
      </w:r>
      <w:r>
        <w:rPr>
          <w:rFonts w:ascii="仿宋_GB2312" w:hAnsi="仿宋" w:eastAsia="仿宋_GB2312" w:cs="Times New Roman"/>
          <w:sz w:val="32"/>
          <w:szCs w:val="40"/>
        </w:rPr>
        <w:t>0</w:t>
      </w:r>
      <w:r>
        <w:rPr>
          <w:rFonts w:hint="eastAsia" w:ascii="仿宋_GB2312" w:hAnsi="仿宋" w:eastAsia="仿宋_GB2312" w:cs="Times New Roman"/>
          <w:sz w:val="32"/>
          <w:szCs w:val="40"/>
        </w:rPr>
        <w:t>月1</w:t>
      </w:r>
      <w:r>
        <w:rPr>
          <w:rFonts w:ascii="仿宋_GB2312" w:hAnsi="仿宋" w:eastAsia="仿宋_GB2312" w:cs="Times New Roman"/>
          <w:sz w:val="32"/>
          <w:szCs w:val="40"/>
        </w:rPr>
        <w:t>3</w:t>
      </w:r>
      <w:r>
        <w:rPr>
          <w:rFonts w:hint="eastAsia" w:ascii="仿宋_GB2312" w:hAnsi="仿宋" w:eastAsia="仿宋_GB2312" w:cs="Times New Roman"/>
          <w:sz w:val="32"/>
          <w:szCs w:val="40"/>
        </w:rPr>
        <w:t>日至1</w:t>
      </w:r>
      <w:r>
        <w:rPr>
          <w:rFonts w:ascii="仿宋_GB2312" w:hAnsi="仿宋" w:eastAsia="仿宋_GB2312" w:cs="Times New Roman"/>
          <w:sz w:val="32"/>
          <w:szCs w:val="40"/>
        </w:rPr>
        <w:t>1</w:t>
      </w:r>
      <w:r>
        <w:rPr>
          <w:rFonts w:hint="eastAsia" w:ascii="仿宋_GB2312" w:hAnsi="仿宋" w:eastAsia="仿宋_GB2312" w:cs="Times New Roman"/>
          <w:sz w:val="32"/>
          <w:szCs w:val="40"/>
        </w:rPr>
        <w:t>月1</w:t>
      </w:r>
      <w:r>
        <w:rPr>
          <w:rFonts w:ascii="仿宋_GB2312" w:hAnsi="仿宋" w:eastAsia="仿宋_GB2312" w:cs="Times New Roman"/>
          <w:sz w:val="32"/>
          <w:szCs w:val="40"/>
        </w:rPr>
        <w:t>3</w:t>
      </w:r>
      <w:r>
        <w:rPr>
          <w:rFonts w:hint="eastAsia" w:ascii="仿宋_GB2312" w:hAnsi="仿宋" w:eastAsia="仿宋_GB2312" w:cs="Times New Roman"/>
          <w:sz w:val="32"/>
          <w:szCs w:val="40"/>
        </w:rPr>
        <w:t>日、</w:t>
      </w:r>
      <w:r>
        <w:rPr>
          <w:rFonts w:ascii="仿宋_GB2312" w:hAnsi="仿宋" w:eastAsia="仿宋_GB2312" w:cs="Times New Roman"/>
          <w:sz w:val="32"/>
          <w:szCs w:val="40"/>
        </w:rPr>
        <w:t>2023年9月</w:t>
      </w:r>
      <w:r>
        <w:rPr>
          <w:rFonts w:hint="eastAsia" w:ascii="仿宋_GB2312" w:hAnsi="仿宋" w:eastAsia="仿宋_GB2312" w:cs="Times New Roman"/>
          <w:sz w:val="32"/>
          <w:szCs w:val="40"/>
        </w:rPr>
        <w:t>4日至1</w:t>
      </w:r>
      <w:r>
        <w:rPr>
          <w:rFonts w:ascii="仿宋_GB2312" w:hAnsi="仿宋" w:eastAsia="仿宋_GB2312" w:cs="Times New Roman"/>
          <w:sz w:val="32"/>
          <w:szCs w:val="40"/>
        </w:rPr>
        <w:t>0</w:t>
      </w:r>
      <w:r>
        <w:rPr>
          <w:rFonts w:hint="eastAsia" w:ascii="仿宋_GB2312" w:hAnsi="仿宋" w:eastAsia="仿宋_GB2312" w:cs="Times New Roman"/>
          <w:sz w:val="32"/>
          <w:szCs w:val="40"/>
        </w:rPr>
        <w:t>月7日</w:t>
      </w:r>
      <w:r>
        <w:rPr>
          <w:rFonts w:ascii="仿宋_GB2312" w:hAnsi="仿宋" w:eastAsia="仿宋_GB2312" w:cs="Times New Roman"/>
          <w:sz w:val="32"/>
          <w:szCs w:val="40"/>
        </w:rPr>
        <w:t>，</w:t>
      </w:r>
      <w:r>
        <w:rPr>
          <w:rFonts w:hint="eastAsia" w:ascii="仿宋_GB2312" w:hAnsi="仿宋" w:eastAsia="仿宋_GB2312" w:cs="Times New Roman"/>
          <w:sz w:val="32"/>
          <w:szCs w:val="40"/>
        </w:rPr>
        <w:t>先后两次</w:t>
      </w:r>
      <w:r>
        <w:rPr>
          <w:rFonts w:ascii="仿宋_GB2312" w:hAnsi="仿宋" w:eastAsia="仿宋_GB2312" w:cs="Times New Roman"/>
          <w:sz w:val="32"/>
          <w:szCs w:val="40"/>
        </w:rPr>
        <w:t>在北辰区政府官网开展为期一个月的</w:t>
      </w:r>
      <w:r>
        <w:rPr>
          <w:rFonts w:hint="eastAsia" w:ascii="仿宋_GB2312" w:hAnsi="仿宋" w:eastAsia="仿宋_GB2312" w:cs="Times New Roman"/>
          <w:sz w:val="32"/>
          <w:szCs w:val="40"/>
        </w:rPr>
        <w:t>规划公示和面向社会公众的</w:t>
      </w:r>
      <w:r>
        <w:rPr>
          <w:rFonts w:ascii="仿宋_GB2312" w:hAnsi="仿宋" w:eastAsia="仿宋_GB2312" w:cs="Times New Roman"/>
          <w:sz w:val="32"/>
          <w:szCs w:val="40"/>
        </w:rPr>
        <w:t>公开</w:t>
      </w:r>
      <w:r>
        <w:rPr>
          <w:rFonts w:hint="eastAsia" w:ascii="仿宋_GB2312" w:hAnsi="仿宋" w:eastAsia="仿宋_GB2312" w:cs="Times New Roman"/>
          <w:sz w:val="32"/>
          <w:szCs w:val="40"/>
        </w:rPr>
        <w:t>意见</w:t>
      </w:r>
      <w:r>
        <w:rPr>
          <w:rFonts w:ascii="仿宋_GB2312" w:hAnsi="仿宋" w:eastAsia="仿宋_GB2312" w:cs="Times New Roman"/>
          <w:sz w:val="32"/>
          <w:szCs w:val="40"/>
        </w:rPr>
        <w:t>征求</w:t>
      </w:r>
      <w:r>
        <w:rPr>
          <w:rFonts w:hint="eastAsia" w:ascii="仿宋_GB2312" w:hAnsi="仿宋" w:eastAsia="仿宋_GB2312" w:cs="Times New Roman"/>
          <w:sz w:val="32"/>
          <w:szCs w:val="40"/>
        </w:rPr>
        <w:t>，并被中国政府网转载。公众意见被充分吸纳到规划修改中。公开征求意见中有匿名群众提到“成立殡葬服务公司，各级审批部门除了考虑资格外，同样需要考虑周围环境。”，因不属于《专项规划》涉及内容，未采纳并进行了反馈。</w:t>
      </w:r>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在最后一轮公示中，</w:t>
      </w:r>
      <w:r>
        <w:rPr>
          <w:rFonts w:ascii="仿宋_GB2312" w:hAnsi="仿宋" w:eastAsia="仿宋_GB2312" w:cs="Times New Roman"/>
          <w:sz w:val="32"/>
          <w:szCs w:val="40"/>
        </w:rPr>
        <w:t>截止到2023年10月7日，未收到以电子邮件</w:t>
      </w:r>
      <w:r>
        <w:rPr>
          <w:rFonts w:hint="eastAsia" w:ascii="仿宋_GB2312" w:hAnsi="仿宋" w:eastAsia="仿宋_GB2312" w:cs="Times New Roman"/>
          <w:sz w:val="32"/>
          <w:szCs w:val="40"/>
        </w:rPr>
        <w:t>、</w:t>
      </w:r>
      <w:r>
        <w:rPr>
          <w:rFonts w:ascii="仿宋_GB2312" w:hAnsi="仿宋" w:eastAsia="仿宋_GB2312" w:cs="Times New Roman"/>
          <w:sz w:val="32"/>
          <w:szCs w:val="40"/>
        </w:rPr>
        <w:t>电话或信函等方式送达的反馈意见，</w:t>
      </w:r>
      <w:r>
        <w:rPr>
          <w:rFonts w:hint="eastAsia" w:ascii="仿宋_GB2312" w:hAnsi="仿宋" w:eastAsia="仿宋_GB2312" w:cs="Times New Roman"/>
          <w:sz w:val="32"/>
          <w:szCs w:val="40"/>
        </w:rPr>
        <w:t>表明</w:t>
      </w:r>
      <w:r>
        <w:rPr>
          <w:rFonts w:ascii="仿宋_GB2312" w:hAnsi="仿宋" w:eastAsia="仿宋_GB2312" w:cs="Times New Roman"/>
          <w:sz w:val="32"/>
          <w:szCs w:val="40"/>
        </w:rPr>
        <w:t>公众对《</w:t>
      </w:r>
      <w:r>
        <w:rPr>
          <w:rFonts w:hint="eastAsia" w:ascii="仿宋_GB2312" w:hAnsi="仿宋" w:eastAsia="仿宋_GB2312" w:cs="Times New Roman"/>
          <w:sz w:val="32"/>
          <w:szCs w:val="40"/>
        </w:rPr>
        <w:t>专项</w:t>
      </w:r>
      <w:r>
        <w:rPr>
          <w:rFonts w:ascii="仿宋_GB2312" w:hAnsi="仿宋" w:eastAsia="仿宋_GB2312" w:cs="Times New Roman"/>
          <w:sz w:val="32"/>
          <w:szCs w:val="40"/>
        </w:rPr>
        <w:t>规划》</w:t>
      </w:r>
      <w:r>
        <w:rPr>
          <w:rFonts w:hint="eastAsia" w:ascii="仿宋_GB2312" w:hAnsi="仿宋" w:eastAsia="仿宋_GB2312" w:cs="Times New Roman"/>
          <w:sz w:val="32"/>
          <w:szCs w:val="40"/>
        </w:rPr>
        <w:t>暂</w:t>
      </w:r>
      <w:r>
        <w:rPr>
          <w:rFonts w:ascii="仿宋_GB2312" w:hAnsi="仿宋" w:eastAsia="仿宋_GB2312" w:cs="Times New Roman"/>
          <w:sz w:val="32"/>
          <w:szCs w:val="40"/>
        </w:rPr>
        <w:t>无修改意见。</w:t>
      </w:r>
    </w:p>
    <w:p>
      <w:pPr>
        <w:spacing w:line="560" w:lineRule="exact"/>
        <w:jc w:val="center"/>
        <w:rPr>
          <w:rFonts w:ascii="仿宋_GB2312" w:hAnsi="仿宋" w:eastAsia="楷体_GB2312" w:cs="Times New Roman"/>
          <w:sz w:val="28"/>
          <w:szCs w:val="28"/>
        </w:rPr>
      </w:pPr>
      <w:r>
        <w:rPr>
          <w:rFonts w:hint="eastAsia" w:ascii="仿宋_GB2312" w:hAnsi="仿宋" w:eastAsia="楷体_GB2312" w:cs="Times New Roman"/>
          <w:sz w:val="28"/>
          <w:szCs w:val="28"/>
        </w:rPr>
        <w:t>图：北辰政务网《专项规划》公开意见征求</w:t>
      </w:r>
    </w:p>
    <w:p>
      <w:pPr>
        <w:rPr>
          <w:rFonts w:ascii="仿宋_GB2312" w:hAnsi="仿宋" w:eastAsia="仿宋_GB2312" w:cs="Times New Roman"/>
          <w:sz w:val="32"/>
          <w:szCs w:val="40"/>
        </w:rPr>
      </w:pPr>
      <w:r>
        <w:drawing>
          <wp:inline distT="0" distB="0" distL="0" distR="0">
            <wp:extent cx="5274310" cy="3561715"/>
            <wp:effectExtent l="0" t="0" r="2540" b="635"/>
            <wp:docPr id="147595709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75957096" name="图片 1"/>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5274310" cy="3561715"/>
                    </a:xfrm>
                    <a:prstGeom prst="rect">
                      <a:avLst/>
                    </a:prstGeom>
                    <a:noFill/>
                    <a:ln>
                      <a:noFill/>
                    </a:ln>
                  </pic:spPr>
                </pic:pic>
              </a:graphicData>
            </a:graphic>
          </wp:inline>
        </w:drawing>
      </w:r>
    </w:p>
    <w:p>
      <w:pPr>
        <w:pStyle w:val="3"/>
        <w:spacing w:before="0" w:after="0" w:line="560" w:lineRule="exact"/>
        <w:ind w:firstLine="640" w:firstLineChars="200"/>
        <w:rPr>
          <w:rFonts w:ascii="黑体" w:hAnsi="黑体" w:eastAsia="黑体" w:cs="Times New Roman"/>
          <w:b w:val="0"/>
          <w:bCs w:val="0"/>
          <w:kern w:val="44"/>
          <w:szCs w:val="48"/>
        </w:rPr>
      </w:pPr>
      <w:bookmarkStart w:id="7" w:name="_Toc119542308"/>
      <w:r>
        <w:rPr>
          <w:rFonts w:ascii="黑体" w:hAnsi="黑体" w:eastAsia="黑体" w:cs="Times New Roman"/>
          <w:b w:val="0"/>
          <w:bCs w:val="0"/>
          <w:kern w:val="44"/>
          <w:szCs w:val="48"/>
        </w:rPr>
        <w:t>2.3.</w:t>
      </w:r>
      <w:r>
        <w:rPr>
          <w:rFonts w:hint="eastAsia" w:ascii="黑体" w:hAnsi="黑体" w:eastAsia="黑体" w:cs="Times New Roman"/>
          <w:b w:val="0"/>
          <w:bCs w:val="0"/>
          <w:kern w:val="44"/>
          <w:szCs w:val="48"/>
        </w:rPr>
        <w:t>科学性评估</w:t>
      </w:r>
      <w:bookmarkEnd w:id="7"/>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科学性合理性是规划切实可行的前提，取决于规划的完整性、需求测算的准确性、空间布局的合理性、开发建设模式的有效性等方面。科学合理的规划不仅决定了殡葬设施空间布局、开发建设和管理保障是否能满足群众实际需求，是否能加快推进殡葬改革、完善殡葬服务供给，还决定了规划应对政策规划调整、供需变化和突发情况的能力，从而提升了防范潜在风险的水平。</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第一，需求测算准确。一是</w:t>
      </w:r>
      <w:r>
        <w:rPr>
          <w:rFonts w:hint="eastAsia" w:ascii="仿宋_GB2312" w:hAnsi="仿宋" w:eastAsia="仿宋_GB2312" w:cs="Times New Roman"/>
          <w:sz w:val="32"/>
          <w:szCs w:val="40"/>
        </w:rPr>
        <w:t>《专项规划》对2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年北辰区死亡人口规模（1</w:t>
      </w:r>
      <w:r>
        <w:rPr>
          <w:rFonts w:ascii="仿宋_GB2312" w:hAnsi="仿宋" w:eastAsia="仿宋_GB2312" w:cs="Times New Roman"/>
          <w:sz w:val="32"/>
          <w:szCs w:val="40"/>
        </w:rPr>
        <w:t>1.08</w:t>
      </w:r>
      <w:r>
        <w:rPr>
          <w:rFonts w:hint="eastAsia" w:ascii="仿宋_GB2312" w:hAnsi="仿宋" w:eastAsia="仿宋_GB2312" w:cs="Times New Roman"/>
          <w:sz w:val="32"/>
          <w:szCs w:val="40"/>
        </w:rPr>
        <w:t>万人，含户籍人口和常住外来人口）进行了科学、准确的测算。</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规划对现有公墓和骨灰堂数量、骨灰安置穴（格）保有量、散埋乱葬平迁需求量进行了全面、准确的统计，测算出到2</w:t>
      </w:r>
      <w:r>
        <w:rPr>
          <w:rFonts w:ascii="仿宋_GB2312" w:hAnsi="仿宋" w:eastAsia="仿宋_GB2312" w:cs="Times New Roman"/>
          <w:sz w:val="32"/>
          <w:szCs w:val="40"/>
        </w:rPr>
        <w:t>035</w:t>
      </w:r>
      <w:r>
        <w:rPr>
          <w:rFonts w:hint="eastAsia" w:ascii="仿宋_GB2312" w:hAnsi="仿宋" w:eastAsia="仿宋_GB2312" w:cs="Times New Roman"/>
          <w:sz w:val="32"/>
          <w:szCs w:val="40"/>
        </w:rPr>
        <w:t>年，户籍人口骨灰安置需求量为7</w:t>
      </w:r>
      <w:r>
        <w:rPr>
          <w:rFonts w:ascii="仿宋_GB2312" w:hAnsi="仿宋" w:eastAsia="仿宋_GB2312" w:cs="Times New Roman"/>
          <w:sz w:val="32"/>
          <w:szCs w:val="40"/>
        </w:rPr>
        <w:t>.96</w:t>
      </w:r>
      <w:r>
        <w:rPr>
          <w:rFonts w:hint="eastAsia" w:ascii="仿宋_GB2312" w:hAnsi="仿宋" w:eastAsia="仿宋_GB2312" w:cs="Times New Roman"/>
          <w:sz w:val="32"/>
          <w:szCs w:val="40"/>
        </w:rPr>
        <w:t>万穴（格），外来人口安葬需求为4</w:t>
      </w:r>
      <w:r>
        <w:rPr>
          <w:rFonts w:ascii="仿宋_GB2312" w:hAnsi="仿宋" w:eastAsia="仿宋_GB2312" w:cs="Times New Roman"/>
          <w:sz w:val="32"/>
          <w:szCs w:val="40"/>
        </w:rPr>
        <w:t>.2</w:t>
      </w:r>
      <w:r>
        <w:rPr>
          <w:rFonts w:hint="eastAsia" w:ascii="仿宋_GB2312" w:hAnsi="仿宋" w:eastAsia="仿宋_GB2312" w:cs="Times New Roman"/>
          <w:sz w:val="32"/>
          <w:szCs w:val="40"/>
        </w:rPr>
        <w:t>穴（格）。</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按照新建公墓每穴（格）用地2</w:t>
      </w:r>
      <w:r>
        <w:rPr>
          <w:rFonts w:ascii="仿宋_GB2312" w:hAnsi="仿宋" w:eastAsia="仿宋_GB2312" w:cs="Times New Roman"/>
          <w:sz w:val="32"/>
          <w:szCs w:val="40"/>
        </w:rPr>
        <w:t>.2</w:t>
      </w:r>
      <w:r>
        <w:rPr>
          <w:rFonts w:hint="eastAsia" w:ascii="仿宋_GB2312" w:hAnsi="仿宋" w:eastAsia="仿宋_GB2312" w:cs="Times New Roman"/>
          <w:sz w:val="32"/>
          <w:szCs w:val="40"/>
        </w:rPr>
        <w:t>平方米的标准计算出，2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年，北辰区户籍人口安葬设施需新增用地</w:t>
      </w:r>
      <w:r>
        <w:rPr>
          <w:rFonts w:ascii="仿宋_GB2312" w:hAnsi="仿宋" w:eastAsia="仿宋_GB2312" w:cs="Times New Roman"/>
          <w:sz w:val="32"/>
          <w:szCs w:val="40"/>
        </w:rPr>
        <w:t>263</w:t>
      </w:r>
      <w:r>
        <w:rPr>
          <w:rFonts w:hint="eastAsia" w:ascii="仿宋_GB2312" w:hAnsi="仿宋" w:eastAsia="仿宋_GB2312" w:cs="Times New Roman"/>
          <w:sz w:val="32"/>
          <w:szCs w:val="40"/>
        </w:rPr>
        <w:t>亩，外来人口无需新增用地。</w:t>
      </w:r>
      <w:r>
        <w:rPr>
          <w:rFonts w:hint="eastAsia" w:ascii="仿宋_GB2312" w:hAnsi="仿宋" w:eastAsia="仿宋_GB2312" w:cs="Times New Roman"/>
          <w:b/>
          <w:bCs/>
          <w:sz w:val="32"/>
          <w:szCs w:val="40"/>
        </w:rPr>
        <w:t>四是</w:t>
      </w:r>
      <w:r>
        <w:rPr>
          <w:rFonts w:hint="eastAsia" w:ascii="仿宋_GB2312" w:hAnsi="仿宋" w:eastAsia="仿宋_GB2312" w:cs="Times New Roman"/>
          <w:sz w:val="32"/>
          <w:szCs w:val="40"/>
        </w:rPr>
        <w:t>根据2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年日均死亡人数（1</w:t>
      </w:r>
      <w:r>
        <w:rPr>
          <w:rFonts w:ascii="仿宋_GB2312" w:hAnsi="仿宋" w:eastAsia="仿宋_GB2312" w:cs="Times New Roman"/>
          <w:sz w:val="32"/>
          <w:szCs w:val="40"/>
        </w:rPr>
        <w:t>3</w:t>
      </w:r>
      <w:r>
        <w:rPr>
          <w:rFonts w:hint="eastAsia" w:ascii="仿宋_GB2312" w:hAnsi="仿宋" w:eastAsia="仿宋_GB2312" w:cs="Times New Roman"/>
          <w:sz w:val="32"/>
          <w:szCs w:val="40"/>
        </w:rPr>
        <w:t>人），测算出全区需配备1</w:t>
      </w:r>
      <w:r>
        <w:rPr>
          <w:rFonts w:ascii="仿宋_GB2312" w:hAnsi="仿宋" w:eastAsia="仿宋_GB2312" w:cs="Times New Roman"/>
          <w:sz w:val="32"/>
          <w:szCs w:val="40"/>
        </w:rPr>
        <w:t>6</w:t>
      </w:r>
      <w:r>
        <w:rPr>
          <w:rFonts w:hint="eastAsia" w:ascii="仿宋_GB2312" w:hAnsi="仿宋" w:eastAsia="仿宋_GB2312" w:cs="Times New Roman"/>
          <w:sz w:val="32"/>
          <w:szCs w:val="40"/>
        </w:rPr>
        <w:t>辆殡仪专用车辆（保守估计）。</w:t>
      </w:r>
      <w:r>
        <w:rPr>
          <w:rFonts w:hint="eastAsia" w:ascii="仿宋_GB2312" w:hAnsi="仿宋" w:eastAsia="仿宋_GB2312" w:cs="Times New Roman"/>
          <w:b/>
          <w:bCs/>
          <w:sz w:val="32"/>
          <w:szCs w:val="40"/>
        </w:rPr>
        <w:t>五是</w:t>
      </w:r>
      <w:r>
        <w:rPr>
          <w:rFonts w:hint="eastAsia" w:ascii="仿宋_GB2312" w:hAnsi="仿宋" w:eastAsia="仿宋_GB2312" w:cs="Times New Roman"/>
          <w:sz w:val="32"/>
          <w:szCs w:val="40"/>
        </w:rPr>
        <w:t>按照殡仪馆年遗体处理量（7</w:t>
      </w:r>
      <w:r>
        <w:rPr>
          <w:rFonts w:ascii="仿宋_GB2312" w:hAnsi="仿宋" w:eastAsia="仿宋_GB2312" w:cs="Times New Roman"/>
          <w:sz w:val="32"/>
          <w:szCs w:val="40"/>
        </w:rPr>
        <w:t>,387</w:t>
      </w:r>
      <w:r>
        <w:rPr>
          <w:rFonts w:hint="eastAsia" w:ascii="仿宋_GB2312" w:hAnsi="仿宋" w:eastAsia="仿宋_GB2312" w:cs="Times New Roman"/>
          <w:sz w:val="32"/>
          <w:szCs w:val="40"/>
        </w:rPr>
        <w:t>具），2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年，需要新增殡仪服务中心（站）用地5</w:t>
      </w:r>
      <w:r>
        <w:rPr>
          <w:rFonts w:ascii="仿宋_GB2312" w:hAnsi="仿宋" w:eastAsia="仿宋_GB2312" w:cs="Times New Roman"/>
          <w:sz w:val="32"/>
          <w:szCs w:val="40"/>
        </w:rPr>
        <w:t>2.5</w:t>
      </w:r>
      <w:r>
        <w:rPr>
          <w:rFonts w:hint="eastAsia" w:ascii="仿宋_GB2312" w:hAnsi="仿宋" w:eastAsia="仿宋_GB2312" w:cs="Times New Roman"/>
          <w:sz w:val="32"/>
          <w:szCs w:val="40"/>
        </w:rPr>
        <w:t>亩。</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第二，空间布局合理。一是</w:t>
      </w:r>
      <w:r>
        <w:rPr>
          <w:rFonts w:hint="eastAsia" w:ascii="仿宋_GB2312" w:hAnsi="仿宋" w:eastAsia="仿宋_GB2312" w:cs="Times New Roman"/>
          <w:sz w:val="32"/>
          <w:szCs w:val="40"/>
        </w:rPr>
        <w:t>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年，规划了9处安葬设施，其中经营性公墓2处（保留）、公益性公墓骨灰堂5处（改造3处，新增2处）、回民公墓2处（保留1处、扩建1处）。</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规划了殡仪设施6处，其中殡仪馆1处（保留）、殡仪服务中心1处（新增）、殡仪服务站4处（扩建3处、新建1处）。</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除小淀镇外，9个镇中</w:t>
      </w:r>
      <w:r>
        <w:rPr>
          <w:rFonts w:ascii="仿宋_GB2312" w:hAnsi="仿宋" w:eastAsia="仿宋_GB2312" w:cs="Times New Roman"/>
          <w:sz w:val="32"/>
          <w:szCs w:val="40"/>
        </w:rPr>
        <w:t>2</w:t>
      </w:r>
      <w:r>
        <w:rPr>
          <w:rFonts w:hint="eastAsia" w:ascii="仿宋_GB2312" w:hAnsi="仿宋" w:eastAsia="仿宋_GB2312" w:cs="Times New Roman"/>
          <w:sz w:val="32"/>
          <w:szCs w:val="40"/>
        </w:rPr>
        <w:t>个镇规划有区级以上殡葬设施（双街镇、北仓镇）、</w:t>
      </w:r>
      <w:r>
        <w:rPr>
          <w:rFonts w:ascii="仿宋_GB2312" w:hAnsi="仿宋" w:eastAsia="仿宋_GB2312" w:cs="Times New Roman"/>
          <w:sz w:val="32"/>
          <w:szCs w:val="40"/>
        </w:rPr>
        <w:t>5</w:t>
      </w:r>
      <w:r>
        <w:rPr>
          <w:rFonts w:hint="eastAsia" w:ascii="仿宋_GB2312" w:hAnsi="仿宋" w:eastAsia="仿宋_GB2312" w:cs="Times New Roman"/>
          <w:sz w:val="32"/>
          <w:szCs w:val="40"/>
        </w:rPr>
        <w:t>个镇规划有镇级殡葬设施，每处殡葬设施的服务半径基本在5公里范围内，在有限的土地条件下基本做到了布局最优化。</w:t>
      </w:r>
      <w:r>
        <w:rPr>
          <w:rStyle w:val="19"/>
          <w:rFonts w:ascii="仿宋_GB2312" w:hAnsi="仿宋" w:eastAsia="仿宋_GB2312" w:cs="Times New Roman"/>
          <w:sz w:val="32"/>
          <w:szCs w:val="40"/>
        </w:rPr>
        <w:footnoteReference w:id="0"/>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第三，设施选址科学。</w:t>
      </w:r>
      <w:r>
        <w:rPr>
          <w:rFonts w:hint="eastAsia" w:ascii="仿宋_GB2312" w:hAnsi="仿宋" w:eastAsia="仿宋_GB2312" w:cs="Times New Roman"/>
          <w:sz w:val="32"/>
          <w:szCs w:val="40"/>
        </w:rPr>
        <w:t>《专项规划》对保留设施、规划新增设施、设施预留用地进行了科学选址。</w:t>
      </w:r>
      <w:r>
        <w:rPr>
          <w:rFonts w:hint="eastAsia" w:ascii="仿宋_GB2312" w:hAnsi="仿宋" w:eastAsia="仿宋_GB2312" w:cs="Times New Roman"/>
          <w:b/>
          <w:bCs/>
          <w:sz w:val="32"/>
          <w:szCs w:val="40"/>
        </w:rPr>
        <w:t>一是</w:t>
      </w:r>
      <w:r>
        <w:rPr>
          <w:rFonts w:hint="eastAsia" w:ascii="仿宋_GB2312" w:hAnsi="仿宋" w:eastAsia="仿宋_GB2312" w:cs="Times New Roman"/>
          <w:sz w:val="32"/>
          <w:szCs w:val="40"/>
        </w:rPr>
        <w:t>选址基本位于北辰区边缘地带，如大张庄镇敬德园骨灰堂、西堤头镇永定寝园、双口镇劳动人民纪念堂，以及双街镇殡葬设施预留用地。</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选址基本避开了风景区、森林公园、历史保护区等区域，高速公路、国道、省道、城市快速路、铁路、航运河道等交通干道两侧可视范围，在规划上基本实现了“三沿六区”无坟化。</w:t>
      </w:r>
    </w:p>
    <w:p>
      <w:pPr>
        <w:pStyle w:val="3"/>
        <w:spacing w:before="0" w:after="0" w:line="560" w:lineRule="exact"/>
        <w:ind w:firstLine="640" w:firstLineChars="200"/>
        <w:rPr>
          <w:rFonts w:ascii="黑体" w:hAnsi="黑体" w:eastAsia="黑体" w:cs="Times New Roman"/>
          <w:b w:val="0"/>
          <w:bCs w:val="0"/>
          <w:kern w:val="44"/>
          <w:szCs w:val="48"/>
        </w:rPr>
      </w:pPr>
      <w:bookmarkStart w:id="8" w:name="_Toc119542309"/>
      <w:r>
        <w:rPr>
          <w:rFonts w:ascii="黑体" w:hAnsi="黑体" w:eastAsia="黑体" w:cs="Times New Roman"/>
          <w:b w:val="0"/>
          <w:bCs w:val="0"/>
          <w:kern w:val="44"/>
          <w:szCs w:val="48"/>
        </w:rPr>
        <w:t>2.4.</w:t>
      </w:r>
      <w:r>
        <w:rPr>
          <w:rFonts w:hint="eastAsia" w:ascii="黑体" w:hAnsi="黑体" w:eastAsia="黑体" w:cs="Times New Roman"/>
          <w:b w:val="0"/>
          <w:bCs w:val="0"/>
          <w:kern w:val="44"/>
          <w:szCs w:val="48"/>
        </w:rPr>
        <w:t>可行性评估</w:t>
      </w:r>
      <w:bookmarkEnd w:id="8"/>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规划制定不仅要科学合理而且要切实可行，只有合理可行的规划才能最终落实并满足需求，具有较强可行性的规划方案可以大大避免后期实施中可能遇到的风险。</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第一，与天津市殡葬设施规划和北辰区国土空间规划保持衔接。一是</w:t>
      </w:r>
      <w:r>
        <w:rPr>
          <w:rFonts w:hint="eastAsia" w:ascii="仿宋_GB2312" w:hAnsi="仿宋" w:eastAsia="仿宋_GB2312" w:cs="Times New Roman"/>
          <w:sz w:val="32"/>
          <w:szCs w:val="40"/>
        </w:rPr>
        <w:t>《专项规划》与天津市殡葬设施规划做到了有序衔接，如天津市规划在天津憩园新建</w:t>
      </w:r>
      <w:r>
        <w:rPr>
          <w:rFonts w:ascii="仿宋_GB2312" w:hAnsi="仿宋" w:eastAsia="仿宋_GB2312" w:cs="Times New Roman"/>
          <w:sz w:val="32"/>
          <w:szCs w:val="40"/>
        </w:rPr>
        <w:t>1处市级公益性骨灰存放设施</w:t>
      </w:r>
      <w:r>
        <w:rPr>
          <w:rFonts w:hint="eastAsia" w:ascii="仿宋_GB2312" w:hAnsi="仿宋" w:eastAsia="仿宋_GB2312" w:cs="Times New Roman"/>
          <w:sz w:val="32"/>
          <w:szCs w:val="40"/>
        </w:rPr>
        <w:t>，该规划可解决一部分北仓镇、小淀镇、宜兴埠镇殡葬需求</w:t>
      </w:r>
      <w:r>
        <w:rPr>
          <w:rFonts w:ascii="仿宋_GB2312" w:hAnsi="仿宋" w:eastAsia="仿宋_GB2312" w:cs="Times New Roman"/>
          <w:sz w:val="32"/>
          <w:szCs w:val="40"/>
        </w:rPr>
        <w:t>。</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天津市规划要求公益性墓地单穴占地≤0</w:t>
      </w:r>
      <w:r>
        <w:rPr>
          <w:rFonts w:ascii="仿宋_GB2312" w:hAnsi="仿宋" w:eastAsia="仿宋_GB2312" w:cs="Times New Roman"/>
          <w:sz w:val="32"/>
          <w:szCs w:val="40"/>
        </w:rPr>
        <w:t>.8</w:t>
      </w:r>
      <w:r>
        <w:rPr>
          <w:rFonts w:hint="eastAsia" w:ascii="仿宋_GB2312" w:hAnsi="仿宋" w:eastAsia="仿宋_GB2312" w:cs="Times New Roman"/>
          <w:sz w:val="32"/>
          <w:szCs w:val="40"/>
        </w:rPr>
        <w:t>平方米，区级公益性墓地不超过3</w:t>
      </w:r>
      <w:r>
        <w:rPr>
          <w:rFonts w:ascii="仿宋_GB2312" w:hAnsi="仿宋" w:eastAsia="仿宋_GB2312" w:cs="Times New Roman"/>
          <w:sz w:val="32"/>
          <w:szCs w:val="40"/>
        </w:rPr>
        <w:t>3.5</w:t>
      </w:r>
      <w:r>
        <w:rPr>
          <w:rFonts w:hint="eastAsia" w:ascii="仿宋_GB2312" w:hAnsi="仿宋" w:eastAsia="仿宋_GB2312" w:cs="Times New Roman"/>
          <w:sz w:val="32"/>
          <w:szCs w:val="40"/>
        </w:rPr>
        <w:t>公顷（5</w:t>
      </w:r>
      <w:r>
        <w:rPr>
          <w:rFonts w:ascii="仿宋_GB2312" w:hAnsi="仿宋" w:eastAsia="仿宋_GB2312" w:cs="Times New Roman"/>
          <w:sz w:val="32"/>
          <w:szCs w:val="40"/>
        </w:rPr>
        <w:t>02.5</w:t>
      </w:r>
      <w:r>
        <w:rPr>
          <w:rFonts w:hint="eastAsia" w:ascii="仿宋_GB2312" w:hAnsi="仿宋" w:eastAsia="仿宋_GB2312" w:cs="Times New Roman"/>
          <w:sz w:val="32"/>
          <w:szCs w:val="40"/>
        </w:rPr>
        <w:t>亩），乡镇公益性墓地不超过3</w:t>
      </w:r>
      <w:r>
        <w:rPr>
          <w:rFonts w:ascii="仿宋_GB2312" w:hAnsi="仿宋" w:eastAsia="仿宋_GB2312" w:cs="Times New Roman"/>
          <w:sz w:val="32"/>
          <w:szCs w:val="40"/>
        </w:rPr>
        <w:t>.5</w:t>
      </w:r>
      <w:r>
        <w:rPr>
          <w:rFonts w:hint="eastAsia" w:ascii="仿宋_GB2312" w:hAnsi="仿宋" w:eastAsia="仿宋_GB2312" w:cs="Times New Roman"/>
          <w:sz w:val="32"/>
          <w:szCs w:val="40"/>
        </w:rPr>
        <w:t>公顷（5</w:t>
      </w:r>
      <w:r>
        <w:rPr>
          <w:rFonts w:ascii="仿宋_GB2312" w:hAnsi="仿宋" w:eastAsia="仿宋_GB2312" w:cs="Times New Roman"/>
          <w:sz w:val="32"/>
          <w:szCs w:val="40"/>
        </w:rPr>
        <w:t>2.5</w:t>
      </w:r>
      <w:r>
        <w:rPr>
          <w:rFonts w:hint="eastAsia" w:ascii="仿宋_GB2312" w:hAnsi="仿宋" w:eastAsia="仿宋_GB2312" w:cs="Times New Roman"/>
          <w:sz w:val="32"/>
          <w:szCs w:val="40"/>
        </w:rPr>
        <w:t>亩），公益性骨灰堂格均占地≤0</w:t>
      </w:r>
      <w:r>
        <w:rPr>
          <w:rFonts w:ascii="仿宋_GB2312" w:hAnsi="仿宋" w:eastAsia="仿宋_GB2312" w:cs="Times New Roman"/>
          <w:sz w:val="32"/>
          <w:szCs w:val="40"/>
        </w:rPr>
        <w:t>.33</w:t>
      </w:r>
      <w:r>
        <w:rPr>
          <w:rFonts w:hint="eastAsia" w:ascii="仿宋_GB2312" w:hAnsi="仿宋" w:eastAsia="仿宋_GB2312" w:cs="Times New Roman"/>
          <w:sz w:val="32"/>
          <w:szCs w:val="40"/>
        </w:rPr>
        <w:t>平方米，北辰区规划均满足市规划标准。</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在《专项规划》编制阶段，相关设施规划及用地需求即与区规划资源局作了对接，已纳入国土空间总体规划。</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第二，规划目标切实可行。</w:t>
      </w:r>
      <w:r>
        <w:rPr>
          <w:rFonts w:hint="eastAsia" w:ascii="仿宋_GB2312" w:hAnsi="仿宋" w:eastAsia="仿宋_GB2312" w:cs="Times New Roman"/>
          <w:sz w:val="32"/>
          <w:szCs w:val="40"/>
        </w:rPr>
        <w:t>殡葬设施类规划对近期目标有两种处理方式：一种是进行指标量化，例如江苏省、广东省、青海省、南京市等地在规划中均提出了具体的发展指标，如改扩建乡镇公益性骨灰安放（葬）设施数量、公益性公墓生态安葬区占比＞3</w:t>
      </w:r>
      <w:r>
        <w:rPr>
          <w:rFonts w:ascii="仿宋_GB2312" w:hAnsi="仿宋" w:eastAsia="仿宋_GB2312" w:cs="Times New Roman"/>
          <w:sz w:val="32"/>
          <w:szCs w:val="40"/>
        </w:rPr>
        <w:t>0%</w:t>
      </w:r>
      <w:r>
        <w:rPr>
          <w:rFonts w:hint="eastAsia" w:ascii="仿宋_GB2312" w:hAnsi="仿宋" w:eastAsia="仿宋_GB2312" w:cs="Times New Roman"/>
          <w:sz w:val="32"/>
          <w:szCs w:val="40"/>
        </w:rPr>
        <w:t>、节能生态安葬率≥7</w:t>
      </w:r>
      <w:r>
        <w:rPr>
          <w:rFonts w:ascii="仿宋_GB2312" w:hAnsi="仿宋" w:eastAsia="仿宋_GB2312" w:cs="Times New Roman"/>
          <w:sz w:val="32"/>
          <w:szCs w:val="40"/>
        </w:rPr>
        <w:t>0%</w:t>
      </w:r>
      <w:r>
        <w:rPr>
          <w:rFonts w:hint="eastAsia" w:ascii="仿宋_GB2312" w:hAnsi="仿宋" w:eastAsia="仿宋_GB2312" w:cs="Times New Roman"/>
          <w:sz w:val="32"/>
          <w:szCs w:val="40"/>
        </w:rPr>
        <w:t>等。另一种是只制定原则性目标，如北京市、天津市、威海市等地在规划中只提出了表述性的目标，如取消土葬政策区、加强现有殡仪设施设备改造、推进智慧殡葬建设等。《专项规划》采取后一种目标形式，相对来说更有弹性。</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第三，开发建设模式成熟可行。</w:t>
      </w:r>
      <w:r>
        <w:rPr>
          <w:rFonts w:hint="eastAsia" w:ascii="仿宋_GB2312" w:hAnsi="仿宋" w:eastAsia="仿宋_GB2312" w:cs="Times New Roman"/>
          <w:sz w:val="32"/>
          <w:szCs w:val="40"/>
        </w:rPr>
        <w:t>《专项规划》专门辟出一节对殡葬设施开发建设模式进行了设计，作为建设导引为规划落地建立了基础。建设模式分为公益性墓地建设模式、殡仪服务站建设模式和“公益性公墓+殡仪服务站”结合建设模式。建设模式提出了殡葬设施应具备的功能、主要功能区面积占比、每亩穴（格）数量、服务能力、建设原则和管理规范等要求。上述建设模式不仅符合国家和地方标准，而且在国内很多地方得到了实践，证明切实可行。</w:t>
      </w:r>
    </w:p>
    <w:p>
      <w:pPr>
        <w:pStyle w:val="3"/>
        <w:spacing w:before="0" w:after="0" w:line="560" w:lineRule="exact"/>
        <w:ind w:firstLine="640" w:firstLineChars="200"/>
        <w:rPr>
          <w:rFonts w:ascii="黑体" w:hAnsi="黑体" w:eastAsia="黑体" w:cs="Times New Roman"/>
          <w:b w:val="0"/>
          <w:bCs w:val="0"/>
          <w:kern w:val="44"/>
          <w:szCs w:val="48"/>
        </w:rPr>
      </w:pPr>
      <w:bookmarkStart w:id="9" w:name="_Toc119542310"/>
      <w:r>
        <w:rPr>
          <w:rFonts w:ascii="黑体" w:hAnsi="黑体" w:eastAsia="黑体" w:cs="Times New Roman"/>
          <w:b w:val="0"/>
          <w:bCs w:val="0"/>
          <w:kern w:val="44"/>
          <w:szCs w:val="48"/>
        </w:rPr>
        <w:t>2.5.</w:t>
      </w:r>
      <w:r>
        <w:rPr>
          <w:rFonts w:hint="eastAsia" w:ascii="黑体" w:hAnsi="黑体" w:eastAsia="黑体" w:cs="Times New Roman"/>
          <w:b w:val="0"/>
          <w:bCs w:val="0"/>
          <w:kern w:val="44"/>
          <w:szCs w:val="48"/>
        </w:rPr>
        <w:t>可控性评估</w:t>
      </w:r>
      <w:bookmarkEnd w:id="9"/>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规划方案的顺利实施离不开供给基础、配套支持和各项保障措施的“保驾护航”。</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第一，北辰区殡葬设施总体供给基础较好。一是</w:t>
      </w:r>
      <w:r>
        <w:rPr>
          <w:rFonts w:hint="eastAsia" w:ascii="仿宋_GB2312" w:hAnsi="仿宋" w:eastAsia="仿宋_GB2312" w:cs="Times New Roman"/>
          <w:sz w:val="32"/>
          <w:szCs w:val="40"/>
        </w:rPr>
        <w:t>北辰区现有各类殡葬服务设施2</w:t>
      </w:r>
      <w:r>
        <w:rPr>
          <w:rFonts w:ascii="仿宋_GB2312" w:hAnsi="仿宋" w:eastAsia="仿宋_GB2312" w:cs="Times New Roman"/>
          <w:sz w:val="32"/>
          <w:szCs w:val="40"/>
        </w:rPr>
        <w:t>3</w:t>
      </w:r>
      <w:r>
        <w:rPr>
          <w:rFonts w:hint="eastAsia" w:ascii="仿宋_GB2312" w:hAnsi="仿宋" w:eastAsia="仿宋_GB2312" w:cs="Times New Roman"/>
          <w:sz w:val="32"/>
          <w:szCs w:val="40"/>
        </w:rPr>
        <w:t>处，占地面积5</w:t>
      </w:r>
      <w:r>
        <w:rPr>
          <w:rFonts w:ascii="仿宋_GB2312" w:hAnsi="仿宋" w:eastAsia="仿宋_GB2312" w:cs="Times New Roman"/>
          <w:sz w:val="32"/>
          <w:szCs w:val="40"/>
        </w:rPr>
        <w:t>42.59</w:t>
      </w:r>
      <w:r>
        <w:rPr>
          <w:rFonts w:hint="eastAsia" w:ascii="仿宋_GB2312" w:hAnsi="仿宋" w:eastAsia="仿宋_GB2312" w:cs="Times New Roman"/>
          <w:sz w:val="32"/>
          <w:szCs w:val="40"/>
        </w:rPr>
        <w:t>亩（不含市级殡葬设施占地），位于天津市前列，其中包括市级殡葬设施4处，供给基础较好。</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不含市级殡葬设施，北辰区已建成殡葬设施有2</w:t>
      </w:r>
      <w:r>
        <w:rPr>
          <w:rFonts w:ascii="仿宋_GB2312" w:hAnsi="仿宋" w:eastAsia="仿宋_GB2312" w:cs="Times New Roman"/>
          <w:sz w:val="32"/>
          <w:szCs w:val="40"/>
        </w:rPr>
        <w:t>2.63</w:t>
      </w:r>
      <w:r>
        <w:rPr>
          <w:rFonts w:hint="eastAsia" w:ascii="仿宋_GB2312" w:hAnsi="仿宋" w:eastAsia="仿宋_GB2312" w:cs="Times New Roman"/>
          <w:sz w:val="32"/>
          <w:szCs w:val="40"/>
        </w:rPr>
        <w:t>万穴（格），已使用7</w:t>
      </w:r>
      <w:r>
        <w:rPr>
          <w:rFonts w:ascii="仿宋_GB2312" w:hAnsi="仿宋" w:eastAsia="仿宋_GB2312" w:cs="Times New Roman"/>
          <w:sz w:val="32"/>
          <w:szCs w:val="40"/>
        </w:rPr>
        <w:t>.33</w:t>
      </w:r>
      <w:r>
        <w:rPr>
          <w:rFonts w:hint="eastAsia" w:ascii="仿宋_GB2312" w:hAnsi="仿宋" w:eastAsia="仿宋_GB2312" w:cs="Times New Roman"/>
          <w:sz w:val="32"/>
          <w:szCs w:val="40"/>
        </w:rPr>
        <w:t>万穴（格），使用率为3</w:t>
      </w:r>
      <w:r>
        <w:rPr>
          <w:rFonts w:ascii="仿宋_GB2312" w:hAnsi="仿宋" w:eastAsia="仿宋_GB2312" w:cs="Times New Roman"/>
          <w:sz w:val="32"/>
          <w:szCs w:val="40"/>
        </w:rPr>
        <w:t>2.39%</w:t>
      </w:r>
      <w:r>
        <w:rPr>
          <w:rFonts w:hint="eastAsia" w:ascii="仿宋_GB2312" w:hAnsi="仿宋" w:eastAsia="仿宋_GB2312" w:cs="Times New Roman"/>
          <w:sz w:val="32"/>
          <w:szCs w:val="40"/>
        </w:rPr>
        <w:t>，其中公益性骨灰堂使用率只有2</w:t>
      </w:r>
      <w:r>
        <w:rPr>
          <w:rFonts w:ascii="仿宋_GB2312" w:hAnsi="仿宋" w:eastAsia="仿宋_GB2312" w:cs="Times New Roman"/>
          <w:sz w:val="32"/>
          <w:szCs w:val="40"/>
        </w:rPr>
        <w:t>2.57%</w:t>
      </w:r>
      <w:r>
        <w:rPr>
          <w:rFonts w:hint="eastAsia" w:ascii="仿宋_GB2312" w:hAnsi="仿宋" w:eastAsia="仿宋_GB2312" w:cs="Times New Roman"/>
          <w:sz w:val="32"/>
          <w:szCs w:val="40"/>
        </w:rPr>
        <w:t>，不算散埋乱葬平迁需求（2</w:t>
      </w:r>
      <w:r>
        <w:rPr>
          <w:rFonts w:ascii="仿宋_GB2312" w:hAnsi="仿宋" w:eastAsia="仿宋_GB2312" w:cs="Times New Roman"/>
          <w:sz w:val="32"/>
          <w:szCs w:val="40"/>
        </w:rPr>
        <w:t>.43</w:t>
      </w:r>
      <w:r>
        <w:rPr>
          <w:rFonts w:hint="eastAsia" w:ascii="仿宋_GB2312" w:hAnsi="仿宋" w:eastAsia="仿宋_GB2312" w:cs="Times New Roman"/>
          <w:sz w:val="32"/>
          <w:szCs w:val="40"/>
        </w:rPr>
        <w:t>万穴）和中远期需求，近期可安放（葬）空间较充裕。</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目前天津市的政策是外来人口优先安放（葬）在经营性墓地，北辰区经营性墓地（天福陵园）最大安放（葬）容量为5</w:t>
      </w:r>
      <w:r>
        <w:rPr>
          <w:rFonts w:ascii="仿宋_GB2312" w:hAnsi="仿宋" w:eastAsia="仿宋_GB2312" w:cs="Times New Roman"/>
          <w:sz w:val="32"/>
          <w:szCs w:val="40"/>
        </w:rPr>
        <w:t>.5</w:t>
      </w:r>
      <w:r>
        <w:rPr>
          <w:rFonts w:hint="eastAsia" w:ascii="仿宋_GB2312" w:hAnsi="仿宋" w:eastAsia="仿宋_GB2312" w:cs="Times New Roman"/>
          <w:sz w:val="32"/>
          <w:szCs w:val="40"/>
        </w:rPr>
        <w:t>万穴，且有5</w:t>
      </w:r>
      <w:r>
        <w:rPr>
          <w:rFonts w:ascii="仿宋_GB2312" w:hAnsi="仿宋" w:eastAsia="仿宋_GB2312" w:cs="Times New Roman"/>
          <w:sz w:val="32"/>
          <w:szCs w:val="40"/>
        </w:rPr>
        <w:t>0</w:t>
      </w:r>
      <w:r>
        <w:rPr>
          <w:rFonts w:hint="eastAsia" w:ascii="仿宋_GB2312" w:hAnsi="仿宋" w:eastAsia="仿宋_GB2312" w:cs="Times New Roman"/>
          <w:sz w:val="32"/>
          <w:szCs w:val="40"/>
        </w:rPr>
        <w:t>亩储备用地（可建1</w:t>
      </w:r>
      <w:r>
        <w:rPr>
          <w:rFonts w:ascii="仿宋_GB2312" w:hAnsi="仿宋" w:eastAsia="仿宋_GB2312" w:cs="Times New Roman"/>
          <w:sz w:val="32"/>
          <w:szCs w:val="40"/>
        </w:rPr>
        <w:t>.5</w:t>
      </w:r>
      <w:r>
        <w:rPr>
          <w:rFonts w:hint="eastAsia" w:ascii="仿宋_GB2312" w:hAnsi="仿宋" w:eastAsia="仿宋_GB2312" w:cs="Times New Roman"/>
          <w:sz w:val="32"/>
          <w:szCs w:val="40"/>
        </w:rPr>
        <w:t>万穴），完全可满足2</w:t>
      </w:r>
      <w:r>
        <w:rPr>
          <w:rFonts w:ascii="仿宋_GB2312" w:hAnsi="仿宋" w:eastAsia="仿宋_GB2312" w:cs="Times New Roman"/>
          <w:sz w:val="32"/>
          <w:szCs w:val="40"/>
        </w:rPr>
        <w:t>035</w:t>
      </w:r>
      <w:r>
        <w:rPr>
          <w:rFonts w:hint="eastAsia" w:ascii="仿宋_GB2312" w:hAnsi="仿宋" w:eastAsia="仿宋_GB2312" w:cs="Times New Roman"/>
          <w:sz w:val="32"/>
          <w:szCs w:val="40"/>
        </w:rPr>
        <w:t>年前外来人口殡葬需求（4</w:t>
      </w:r>
      <w:r>
        <w:rPr>
          <w:rFonts w:ascii="仿宋_GB2312" w:hAnsi="仿宋" w:eastAsia="仿宋_GB2312" w:cs="Times New Roman"/>
          <w:sz w:val="32"/>
          <w:szCs w:val="40"/>
        </w:rPr>
        <w:t>.2</w:t>
      </w:r>
      <w:r>
        <w:rPr>
          <w:rFonts w:hint="eastAsia" w:ascii="仿宋_GB2312" w:hAnsi="仿宋" w:eastAsia="仿宋_GB2312" w:cs="Times New Roman"/>
          <w:sz w:val="32"/>
          <w:szCs w:val="40"/>
        </w:rPr>
        <w:t>万穴）。</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第二，文明绿色殡葬宣贯和惠民政策支撑有力。</w:t>
      </w:r>
      <w:r>
        <w:rPr>
          <w:rFonts w:hint="eastAsia" w:ascii="仿宋_GB2312" w:hAnsi="仿宋" w:eastAsia="仿宋_GB2312" w:cs="Times New Roman"/>
          <w:sz w:val="32"/>
          <w:szCs w:val="40"/>
        </w:rPr>
        <w:t>1</w:t>
      </w:r>
      <w:r>
        <w:rPr>
          <w:rFonts w:ascii="仿宋_GB2312" w:hAnsi="仿宋" w:eastAsia="仿宋_GB2312" w:cs="Times New Roman"/>
          <w:sz w:val="32"/>
          <w:szCs w:val="40"/>
        </w:rPr>
        <w:t>997</w:t>
      </w:r>
      <w:r>
        <w:rPr>
          <w:rFonts w:hint="eastAsia" w:ascii="仿宋_GB2312" w:hAnsi="仿宋" w:eastAsia="仿宋_GB2312" w:cs="Times New Roman"/>
          <w:sz w:val="32"/>
          <w:szCs w:val="40"/>
        </w:rPr>
        <w:t>年《殡葬管理条例》颁布以来，在包括天津在内的北方平原地区火葬基本得到了全覆盖。2</w:t>
      </w:r>
      <w:r>
        <w:rPr>
          <w:rFonts w:ascii="仿宋_GB2312" w:hAnsi="仿宋" w:eastAsia="仿宋_GB2312" w:cs="Times New Roman"/>
          <w:sz w:val="32"/>
          <w:szCs w:val="40"/>
        </w:rPr>
        <w:t>016</w:t>
      </w:r>
      <w:r>
        <w:rPr>
          <w:rFonts w:hint="eastAsia" w:ascii="仿宋_GB2312" w:hAnsi="仿宋" w:eastAsia="仿宋_GB2312" w:cs="Times New Roman"/>
          <w:sz w:val="32"/>
          <w:szCs w:val="40"/>
        </w:rPr>
        <w:t>年民政部出台《关于推行节地生态安葬的指导意见》以来，海葬、树葬、草坪葬、花坛葬等生态葬法得到了大力推广，群众知晓度和接受度不断上升。近年来，各地纷纷出台惠民殡葬补助补贴政策，2</w:t>
      </w:r>
      <w:r>
        <w:rPr>
          <w:rFonts w:ascii="仿宋_GB2312" w:hAnsi="仿宋" w:eastAsia="仿宋_GB2312" w:cs="Times New Roman"/>
          <w:sz w:val="32"/>
          <w:szCs w:val="40"/>
        </w:rPr>
        <w:t>019</w:t>
      </w:r>
      <w:r>
        <w:rPr>
          <w:rFonts w:hint="eastAsia" w:ascii="仿宋_GB2312" w:hAnsi="仿宋" w:eastAsia="仿宋_GB2312" w:cs="Times New Roman"/>
          <w:sz w:val="32"/>
          <w:szCs w:val="40"/>
        </w:rPr>
        <w:t>年天津市出台了《天津市无丧葬补助居民丧葬补贴发放办法》（津民规〔</w:t>
      </w:r>
      <w:r>
        <w:rPr>
          <w:rFonts w:ascii="仿宋_GB2312" w:hAnsi="仿宋" w:eastAsia="仿宋_GB2312" w:cs="Times New Roman"/>
          <w:sz w:val="32"/>
          <w:szCs w:val="40"/>
        </w:rPr>
        <w:t>2019〕1号</w:t>
      </w:r>
      <w:r>
        <w:rPr>
          <w:rFonts w:hint="eastAsia" w:ascii="仿宋_GB2312" w:hAnsi="仿宋" w:eastAsia="仿宋_GB2312" w:cs="Times New Roman"/>
          <w:sz w:val="32"/>
          <w:szCs w:val="40"/>
        </w:rPr>
        <w:t>），文明绿色殡葬得到了广泛推广和响应。文明绿色殡葬理念及践行的不断扩大，未来将大幅减少殡葬设施的用地需求，降低土地保障风险。</w:t>
      </w:r>
    </w:p>
    <w:p>
      <w:pPr>
        <w:spacing w:line="560" w:lineRule="exact"/>
        <w:ind w:firstLine="642" w:firstLineChars="200"/>
        <w:rPr>
          <w:rFonts w:ascii="仿宋_GB2312" w:hAnsi="仿宋" w:eastAsia="仿宋_GB2312" w:cs="Times New Roman"/>
          <w:b/>
          <w:bCs/>
          <w:sz w:val="32"/>
          <w:szCs w:val="40"/>
        </w:rPr>
      </w:pPr>
      <w:r>
        <w:rPr>
          <w:rFonts w:hint="eastAsia" w:ascii="仿宋_GB2312" w:hAnsi="仿宋" w:eastAsia="仿宋_GB2312" w:cs="Times New Roman"/>
          <w:b/>
          <w:bCs/>
          <w:sz w:val="32"/>
          <w:szCs w:val="40"/>
        </w:rPr>
        <w:t>第三，落实和管理保障措施有效。</w:t>
      </w:r>
      <w:r>
        <w:rPr>
          <w:rFonts w:hint="eastAsia" w:ascii="仿宋_GB2312" w:hAnsi="仿宋" w:eastAsia="仿宋_GB2312" w:cs="Times New Roman"/>
          <w:sz w:val="32"/>
          <w:szCs w:val="40"/>
        </w:rPr>
        <w:t>《专项规划》在第五章“政策落实和管理保障”</w:t>
      </w:r>
      <w:r>
        <w:rPr>
          <w:rFonts w:hint="eastAsia"/>
        </w:rPr>
        <w:t xml:space="preserve"> </w:t>
      </w:r>
      <w:r>
        <w:rPr>
          <w:rFonts w:hint="eastAsia" w:ascii="仿宋_GB2312" w:hAnsi="仿宋" w:eastAsia="仿宋_GB2312" w:cs="Times New Roman"/>
          <w:sz w:val="32"/>
          <w:szCs w:val="40"/>
        </w:rPr>
        <w:t>从建立殡葬管理联动机制、健全殡葬行政法治建设、积极营建文明殡葬氛围、推进殡葬行业行风建设、落实惠民殡葬保障制度、加强殡葬领域财政投入支持六个方面构建了北辰区殡葬政策、管理保障体系。上述措施对保障规划实施、增加风险可控性奠定了制度基础，例如建议出台免除殡葬基本服务费用实施办法，将进一步放大文明绿色殡葬效果。积极推行职业资格证书制度，将大大加快殡葬服务的标准化建设和服务水平的提升。建立绿色殡葬管理联席会议制度，将有效加强规划建设工作统筹和职能部门间的协作。</w:t>
      </w:r>
    </w:p>
    <w:p>
      <w:pPr>
        <w:pStyle w:val="22"/>
        <w:keepNext/>
        <w:keepLines/>
        <w:numPr>
          <w:ilvl w:val="0"/>
          <w:numId w:val="1"/>
        </w:numPr>
        <w:spacing w:line="560" w:lineRule="exact"/>
        <w:ind w:firstLineChars="0"/>
        <w:jc w:val="center"/>
        <w:outlineLvl w:val="0"/>
        <w:rPr>
          <w:rFonts w:ascii="Times New Roman" w:hAnsi="Times New Roman" w:eastAsia="黑体" w:cs="Times New Roman"/>
          <w:b/>
          <w:bCs/>
          <w:kern w:val="44"/>
          <w:sz w:val="36"/>
          <w:szCs w:val="52"/>
        </w:rPr>
      </w:pPr>
      <w:bookmarkStart w:id="10" w:name="_Toc119542311"/>
      <w:r>
        <w:rPr>
          <w:rFonts w:hint="eastAsia" w:ascii="Times New Roman" w:hAnsi="Times New Roman" w:eastAsia="黑体" w:cs="Times New Roman"/>
          <w:b/>
          <w:bCs/>
          <w:kern w:val="44"/>
          <w:sz w:val="36"/>
          <w:szCs w:val="52"/>
        </w:rPr>
        <w:t>评估结论与风险防范</w:t>
      </w:r>
      <w:bookmarkEnd w:id="10"/>
    </w:p>
    <w:p>
      <w:pPr>
        <w:pStyle w:val="3"/>
        <w:spacing w:before="0" w:after="0" w:line="560" w:lineRule="exact"/>
        <w:ind w:firstLine="640" w:firstLineChars="200"/>
        <w:rPr>
          <w:rFonts w:ascii="黑体" w:hAnsi="黑体" w:eastAsia="黑体" w:cs="Times New Roman"/>
          <w:b w:val="0"/>
          <w:bCs w:val="0"/>
          <w:kern w:val="44"/>
          <w:szCs w:val="48"/>
        </w:rPr>
      </w:pPr>
      <w:bookmarkStart w:id="11" w:name="_Toc119542312"/>
      <w:r>
        <w:rPr>
          <w:rFonts w:ascii="黑体" w:hAnsi="黑体" w:eastAsia="黑体" w:cs="Times New Roman"/>
          <w:b w:val="0"/>
          <w:bCs w:val="0"/>
          <w:kern w:val="44"/>
          <w:szCs w:val="48"/>
        </w:rPr>
        <w:t>3.1.</w:t>
      </w:r>
      <w:r>
        <w:rPr>
          <w:rFonts w:hint="eastAsia" w:ascii="黑体" w:hAnsi="黑体" w:eastAsia="黑体" w:cs="Times New Roman"/>
          <w:b w:val="0"/>
          <w:bCs w:val="0"/>
          <w:kern w:val="44"/>
          <w:szCs w:val="48"/>
        </w:rPr>
        <w:t>评估结论</w:t>
      </w:r>
      <w:bookmarkEnd w:id="11"/>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通过对《专项规划》及其编制工作合法性、规范性、科学性、可行性和可控性的评估，我们认为北辰区殡葬服务设施布局专项规划的可靠性、预见性较强，风险程度较低，风险可控。</w:t>
      </w:r>
      <w:r>
        <w:rPr>
          <w:rFonts w:hint="eastAsia" w:ascii="仿宋_GB2312" w:hAnsi="仿宋" w:eastAsia="仿宋_GB2312" w:cs="Times New Roman"/>
          <w:b/>
          <w:bCs/>
          <w:sz w:val="32"/>
          <w:szCs w:val="40"/>
        </w:rPr>
        <w:t>按照重大行政决策高、中、低三级风险划分，《专项规划》的风险等级属于低风险等级，建议予以通过。</w:t>
      </w:r>
    </w:p>
    <w:p>
      <w:pPr>
        <w:pStyle w:val="3"/>
        <w:spacing w:before="0" w:after="0" w:line="560" w:lineRule="exact"/>
        <w:ind w:firstLine="640" w:firstLineChars="200"/>
        <w:rPr>
          <w:rFonts w:ascii="黑体" w:hAnsi="黑体" w:eastAsia="黑体" w:cs="Times New Roman"/>
          <w:b w:val="0"/>
          <w:bCs w:val="0"/>
          <w:kern w:val="44"/>
          <w:szCs w:val="48"/>
        </w:rPr>
      </w:pPr>
      <w:bookmarkStart w:id="12" w:name="_Toc119542313"/>
      <w:r>
        <w:rPr>
          <w:rFonts w:ascii="黑体" w:hAnsi="黑体" w:eastAsia="黑体" w:cs="Times New Roman"/>
          <w:b w:val="0"/>
          <w:bCs w:val="0"/>
          <w:kern w:val="44"/>
          <w:szCs w:val="48"/>
        </w:rPr>
        <w:t>3.2.</w:t>
      </w:r>
      <w:r>
        <w:rPr>
          <w:rFonts w:hint="eastAsia" w:ascii="黑体" w:hAnsi="黑体" w:eastAsia="黑体" w:cs="Times New Roman"/>
          <w:b w:val="0"/>
          <w:bCs w:val="0"/>
          <w:kern w:val="44"/>
          <w:szCs w:val="48"/>
        </w:rPr>
        <w:t>潜在风险</w:t>
      </w:r>
      <w:bookmarkEnd w:id="12"/>
    </w:p>
    <w:p>
      <w:pPr>
        <w:spacing w:line="560" w:lineRule="exact"/>
        <w:ind w:firstLine="640" w:firstLineChars="200"/>
        <w:rPr>
          <w:rFonts w:ascii="仿宋_GB2312" w:hAnsi="仿宋" w:eastAsia="仿宋_GB2312" w:cs="Times New Roman"/>
          <w:sz w:val="32"/>
          <w:szCs w:val="40"/>
        </w:rPr>
      </w:pPr>
      <w:r>
        <w:rPr>
          <w:rFonts w:hint="eastAsia" w:ascii="仿宋_GB2312" w:hAnsi="仿宋" w:eastAsia="仿宋_GB2312" w:cs="Times New Roman"/>
          <w:sz w:val="32"/>
          <w:szCs w:val="40"/>
        </w:rPr>
        <w:t>尽管《专项规划》编制规范成熟、规划科学可行，但由于殡葬服务设施的特殊性、邻避效应和长期以来规划审批改革的滞后，加上远期城市发展开发建设、区外规划的不确定性，以及极端气候环境的不可预见性，在规划实施和殡葬设施建设中仍存在的一定的风险：</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第一，规划缺少近期量化指标，可能影响规划落地进度。一是</w:t>
      </w:r>
      <w:r>
        <w:rPr>
          <w:rFonts w:hint="eastAsia" w:ascii="仿宋_GB2312" w:hAnsi="仿宋" w:eastAsia="仿宋_GB2312" w:cs="Times New Roman"/>
          <w:sz w:val="32"/>
          <w:szCs w:val="40"/>
        </w:rPr>
        <w:t>《专项规划》没有制定明确的近期（2</w:t>
      </w:r>
      <w:r>
        <w:rPr>
          <w:rFonts w:ascii="仿宋_GB2312" w:hAnsi="仿宋" w:eastAsia="仿宋_GB2312" w:cs="Times New Roman"/>
          <w:sz w:val="32"/>
          <w:szCs w:val="40"/>
        </w:rPr>
        <w:t>021-2035</w:t>
      </w:r>
      <w:r>
        <w:rPr>
          <w:rFonts w:hint="eastAsia" w:ascii="仿宋_GB2312" w:hAnsi="仿宋" w:eastAsia="仿宋_GB2312" w:cs="Times New Roman"/>
          <w:sz w:val="32"/>
          <w:szCs w:val="40"/>
        </w:rPr>
        <w:t>年）量化指标，不利于后续工作推进及考核，可能会影响新增和改扩建设施建设进度。</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北辰散埋乱葬平迁需求较大，规划提出“分期逐步平迁”，但未制定阶段性目标，可能会影响平迁进度。</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《专项规划》并未明确新增设施四至范围，不方便街区详规编制，可能会导致开发建设中出现侵占用地等问题，影响后续管理。</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第二，城镇化率和老龄化率高，高品质和多样化需求增长快。</w:t>
      </w:r>
      <w:r>
        <w:rPr>
          <w:rFonts w:hint="eastAsia" w:ascii="仿宋_GB2312" w:hAnsi="仿宋" w:eastAsia="仿宋_GB2312" w:cs="Times New Roman"/>
          <w:sz w:val="32"/>
          <w:szCs w:val="40"/>
        </w:rPr>
        <w:t>2</w:t>
      </w:r>
      <w:r>
        <w:rPr>
          <w:rFonts w:ascii="仿宋_GB2312" w:hAnsi="仿宋" w:eastAsia="仿宋_GB2312" w:cs="Times New Roman"/>
          <w:sz w:val="32"/>
          <w:szCs w:val="40"/>
        </w:rPr>
        <w:t>025</w:t>
      </w:r>
      <w:r>
        <w:rPr>
          <w:rFonts w:hint="eastAsia" w:ascii="仿宋_GB2312" w:hAnsi="仿宋" w:eastAsia="仿宋_GB2312" w:cs="Times New Roman"/>
          <w:sz w:val="32"/>
          <w:szCs w:val="40"/>
        </w:rPr>
        <w:t>年，北辰老龄化率将达到2</w:t>
      </w:r>
      <w:r>
        <w:rPr>
          <w:rFonts w:ascii="仿宋_GB2312" w:hAnsi="仿宋" w:eastAsia="仿宋_GB2312" w:cs="Times New Roman"/>
          <w:sz w:val="32"/>
          <w:szCs w:val="40"/>
        </w:rPr>
        <w:t>5%</w:t>
      </w:r>
      <w:r>
        <w:rPr>
          <w:rFonts w:hint="eastAsia" w:ascii="仿宋_GB2312" w:hAnsi="仿宋" w:eastAsia="仿宋_GB2312" w:cs="Times New Roman"/>
          <w:sz w:val="32"/>
          <w:szCs w:val="40"/>
        </w:rPr>
        <w:t>，2</w:t>
      </w:r>
      <w:r>
        <w:rPr>
          <w:rFonts w:ascii="仿宋_GB2312" w:hAnsi="仿宋" w:eastAsia="仿宋_GB2312" w:cs="Times New Roman"/>
          <w:sz w:val="32"/>
          <w:szCs w:val="40"/>
        </w:rPr>
        <w:t>035</w:t>
      </w:r>
      <w:r>
        <w:rPr>
          <w:rFonts w:hint="eastAsia" w:ascii="仿宋_GB2312" w:hAnsi="仿宋" w:eastAsia="仿宋_GB2312" w:cs="Times New Roman"/>
          <w:sz w:val="32"/>
          <w:szCs w:val="40"/>
        </w:rPr>
        <w:t>年有可能达到4</w:t>
      </w:r>
      <w:r>
        <w:rPr>
          <w:rFonts w:ascii="仿宋_GB2312" w:hAnsi="仿宋" w:eastAsia="仿宋_GB2312" w:cs="Times New Roman"/>
          <w:sz w:val="32"/>
          <w:szCs w:val="40"/>
        </w:rPr>
        <w:t>0%</w:t>
      </w:r>
      <w:r>
        <w:rPr>
          <w:rFonts w:hint="eastAsia" w:ascii="仿宋_GB2312" w:hAnsi="仿宋" w:eastAsia="仿宋_GB2312" w:cs="Times New Roman"/>
          <w:sz w:val="32"/>
          <w:szCs w:val="40"/>
        </w:rPr>
        <w:t>，且北辰区的城镇化率已超过9</w:t>
      </w:r>
      <w:r>
        <w:rPr>
          <w:rFonts w:ascii="仿宋_GB2312" w:hAnsi="仿宋" w:eastAsia="仿宋_GB2312" w:cs="Times New Roman"/>
          <w:sz w:val="32"/>
          <w:szCs w:val="40"/>
        </w:rPr>
        <w:t>1%</w:t>
      </w:r>
      <w:r>
        <w:rPr>
          <w:rFonts w:hint="eastAsia" w:ascii="仿宋_GB2312" w:hAnsi="仿宋" w:eastAsia="仿宋_GB2312" w:cs="Times New Roman"/>
          <w:sz w:val="32"/>
          <w:szCs w:val="40"/>
        </w:rPr>
        <w:t>。高城镇化率和高老龄化率叠加在一起，在扩大了殡葬服务需求基数的同时，也对需求结构产生了较大影响。未来，随着丧葬文化和观念的变迁，对高品质和多样化殡葬服务的需求将越来越凸显。目前，天津市对经营性墓地进行了较为严格的控制，除蓟州区</w:t>
      </w:r>
      <w:r>
        <w:rPr>
          <w:rFonts w:ascii="仿宋_GB2312" w:hAnsi="仿宋" w:eastAsia="仿宋_GB2312" w:cs="Times New Roman"/>
          <w:sz w:val="32"/>
          <w:szCs w:val="40"/>
        </w:rPr>
        <w:t>外不再新增经营性公墓。</w:t>
      </w:r>
      <w:r>
        <w:rPr>
          <w:rFonts w:hint="eastAsia" w:ascii="仿宋_GB2312" w:hAnsi="仿宋" w:eastAsia="仿宋_GB2312" w:cs="Times New Roman"/>
          <w:sz w:val="32"/>
          <w:szCs w:val="40"/>
        </w:rPr>
        <w:t>这就为公益性墓地的殡葬服务提出了更高的要求，《专项规划》虽对殡葬业创新、智慧殡葬有涉及，但更多侧重在政府管理侧，对社会需求侧着墨不多。未来，北辰区殡葬服务可能面临一定的结构性供需矛盾。</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第三，散埋乱葬平迁需求大、压力大，面临社会稳定和负面舆情潜在风险。</w:t>
      </w:r>
      <w:r>
        <w:rPr>
          <w:rFonts w:hint="eastAsia" w:ascii="仿宋_GB2312" w:hAnsi="仿宋" w:eastAsia="仿宋_GB2312" w:cs="Times New Roman"/>
          <w:sz w:val="32"/>
          <w:szCs w:val="40"/>
        </w:rPr>
        <w:t>散埋乱葬、骨灰装棺再葬一直是殡葬改革的难点。2</w:t>
      </w:r>
      <w:r>
        <w:rPr>
          <w:rFonts w:ascii="仿宋_GB2312" w:hAnsi="仿宋" w:eastAsia="仿宋_GB2312" w:cs="Times New Roman"/>
          <w:sz w:val="32"/>
          <w:szCs w:val="40"/>
        </w:rPr>
        <w:t>021</w:t>
      </w:r>
      <w:r>
        <w:rPr>
          <w:rFonts w:hint="eastAsia" w:ascii="仿宋_GB2312" w:hAnsi="仿宋" w:eastAsia="仿宋_GB2312" w:cs="Times New Roman"/>
          <w:sz w:val="32"/>
          <w:szCs w:val="40"/>
        </w:rPr>
        <w:t>年至2</w:t>
      </w:r>
      <w:r>
        <w:rPr>
          <w:rFonts w:ascii="仿宋_GB2312" w:hAnsi="仿宋" w:eastAsia="仿宋_GB2312" w:cs="Times New Roman"/>
          <w:sz w:val="32"/>
          <w:szCs w:val="40"/>
        </w:rPr>
        <w:t>035</w:t>
      </w:r>
      <w:r>
        <w:rPr>
          <w:rFonts w:hint="eastAsia" w:ascii="仿宋_GB2312" w:hAnsi="仿宋" w:eastAsia="仿宋_GB2312" w:cs="Times New Roman"/>
          <w:sz w:val="32"/>
          <w:szCs w:val="40"/>
        </w:rPr>
        <w:t>年，北辰区散埋乱葬平迁需求达2</w:t>
      </w:r>
      <w:r>
        <w:rPr>
          <w:rFonts w:ascii="仿宋_GB2312" w:hAnsi="仿宋" w:eastAsia="仿宋_GB2312" w:cs="Times New Roman"/>
          <w:sz w:val="32"/>
          <w:szCs w:val="40"/>
        </w:rPr>
        <w:t>.43</w:t>
      </w:r>
      <w:r>
        <w:rPr>
          <w:rFonts w:hint="eastAsia" w:ascii="仿宋_GB2312" w:hAnsi="仿宋" w:eastAsia="仿宋_GB2312" w:cs="Times New Roman"/>
          <w:sz w:val="32"/>
          <w:szCs w:val="40"/>
        </w:rPr>
        <w:t>万穴，压力较大。《专项规划》将散埋乱葬治理作为近期重点工作，首先针对公路两侧散乱墓穴进行平迁。在平迁规划中，有3个镇（北仓镇、宜兴埠镇、小淀镇）因无镇级公益性墓地和骨灰堂，需将3</w:t>
      </w:r>
      <w:r>
        <w:rPr>
          <w:rFonts w:ascii="仿宋_GB2312" w:hAnsi="仿宋" w:eastAsia="仿宋_GB2312" w:cs="Times New Roman"/>
          <w:sz w:val="32"/>
          <w:szCs w:val="40"/>
        </w:rPr>
        <w:t>,410</w:t>
      </w:r>
      <w:r>
        <w:rPr>
          <w:rFonts w:hint="eastAsia" w:ascii="仿宋_GB2312" w:hAnsi="仿宋" w:eastAsia="仿宋_GB2312" w:cs="Times New Roman"/>
          <w:sz w:val="32"/>
          <w:szCs w:val="40"/>
        </w:rPr>
        <w:t>穴迁至市级、区级殡葬设施内，不仅迁至市级公墓难度大，而且区级公墓为规划新增设施，影响平迁进度。平迁工作中，如果群众响应度不高，前期宣传动员不足，矛盾处理不当，容易引起负面舆情甚至群体性事件。</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第四，对京津冀协同考虑有所欠缺，可能在区域合作中处于被动。</w:t>
      </w:r>
      <w:r>
        <w:rPr>
          <w:rFonts w:hint="eastAsia" w:ascii="仿宋_GB2312" w:hAnsi="仿宋" w:eastAsia="仿宋_GB2312" w:cs="Times New Roman"/>
          <w:sz w:val="32"/>
          <w:szCs w:val="40"/>
        </w:rPr>
        <w:t>《专项规划》在规划背景中着重提到了“京津冀殡葬协同联动发展机制——协同”，但在设施布局规划、开发建设导引和管理保障中缺乏具体设计。2</w:t>
      </w:r>
      <w:r>
        <w:rPr>
          <w:rFonts w:ascii="仿宋_GB2312" w:hAnsi="仿宋" w:eastAsia="仿宋_GB2312" w:cs="Times New Roman"/>
          <w:sz w:val="32"/>
          <w:szCs w:val="40"/>
        </w:rPr>
        <w:t>023</w:t>
      </w:r>
      <w:r>
        <w:rPr>
          <w:rFonts w:hint="eastAsia" w:ascii="仿宋_GB2312" w:hAnsi="仿宋" w:eastAsia="仿宋_GB2312" w:cs="Times New Roman"/>
          <w:sz w:val="32"/>
          <w:szCs w:val="40"/>
        </w:rPr>
        <w:t>年</w:t>
      </w:r>
      <w:r>
        <w:rPr>
          <w:rFonts w:ascii="仿宋_GB2312" w:hAnsi="仿宋" w:eastAsia="仿宋_GB2312" w:cs="Times New Roman"/>
          <w:sz w:val="32"/>
          <w:szCs w:val="40"/>
        </w:rPr>
        <w:t>5</w:t>
      </w:r>
      <w:r>
        <w:rPr>
          <w:rFonts w:hint="eastAsia" w:ascii="仿宋_GB2312" w:hAnsi="仿宋" w:eastAsia="仿宋_GB2312" w:cs="Times New Roman"/>
          <w:sz w:val="32"/>
          <w:szCs w:val="40"/>
        </w:rPr>
        <w:t>月1</w:t>
      </w:r>
      <w:r>
        <w:rPr>
          <w:rFonts w:ascii="仿宋_GB2312" w:hAnsi="仿宋" w:eastAsia="仿宋_GB2312" w:cs="Times New Roman"/>
          <w:sz w:val="32"/>
          <w:szCs w:val="40"/>
        </w:rPr>
        <w:t>2</w:t>
      </w:r>
      <w:r>
        <w:rPr>
          <w:rFonts w:hint="eastAsia" w:ascii="仿宋_GB2312" w:hAnsi="仿宋" w:eastAsia="仿宋_GB2312" w:cs="Times New Roman"/>
          <w:sz w:val="32"/>
          <w:szCs w:val="40"/>
        </w:rPr>
        <w:t>日，习近平总书记在河北主持召开了深入推进京津冀协同发展座谈会，提出以更加奋发有为的精神状态推进各项工作，推动京津冀协同发展不断迈上新台阶，努力使京津冀成为中国式现代化建设的先行区、示范区。具体规划设计的缺失不利于北辰在殡葬改革和设施开发建设中充分利用跨区域社会资源，实现殡葬资源优势互补和差异化发展格局，在殡葬事业发展和区域竞争中可能处于被动地位。</w:t>
      </w:r>
    </w:p>
    <w:p>
      <w:pPr>
        <w:pStyle w:val="3"/>
        <w:spacing w:before="0" w:after="0" w:line="560" w:lineRule="exact"/>
        <w:ind w:firstLine="640" w:firstLineChars="200"/>
        <w:rPr>
          <w:rFonts w:ascii="黑体" w:hAnsi="黑体" w:eastAsia="黑体" w:cs="Times New Roman"/>
          <w:b w:val="0"/>
          <w:bCs w:val="0"/>
          <w:kern w:val="44"/>
          <w:szCs w:val="48"/>
        </w:rPr>
      </w:pPr>
      <w:bookmarkStart w:id="13" w:name="_Toc119542314"/>
      <w:r>
        <w:rPr>
          <w:rFonts w:ascii="黑体" w:hAnsi="黑体" w:eastAsia="黑体" w:cs="Times New Roman"/>
          <w:b w:val="0"/>
          <w:bCs w:val="0"/>
          <w:kern w:val="44"/>
          <w:szCs w:val="48"/>
        </w:rPr>
        <w:t>3.3.</w:t>
      </w:r>
      <w:r>
        <w:rPr>
          <w:rFonts w:hint="eastAsia" w:ascii="黑体" w:hAnsi="黑体" w:eastAsia="黑体" w:cs="Times New Roman"/>
          <w:b w:val="0"/>
          <w:bCs w:val="0"/>
          <w:kern w:val="44"/>
          <w:szCs w:val="48"/>
        </w:rPr>
        <w:t>风险防范建议</w:t>
      </w:r>
      <w:bookmarkEnd w:id="13"/>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第一，加强对潜在风险的研判。一是</w:t>
      </w:r>
      <w:r>
        <w:rPr>
          <w:rFonts w:hint="eastAsia" w:ascii="仿宋_GB2312" w:hAnsi="仿宋" w:eastAsia="仿宋_GB2312" w:cs="Times New Roman"/>
          <w:sz w:val="32"/>
          <w:szCs w:val="40"/>
        </w:rPr>
        <w:t>在规划正式出台前，建议区民政局对上述潜在风险进行专题研究，与规划设计机构、区相关职能部门共同研究近期规划目标是否有必要进行量化。</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充分研究评估散埋乱葬平迁工作的难度，按照“一村一策”“一类一策”原则探索稳妥可行的平迁方式，并确定平迁步骤、阶段和试点，充分做好平迁前期准备工作，多方合力确保平迁工作顺利推进。</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在规划实施过程中加强群众对文明绿色殡葬的接受度、对高品质多样化殡葬服务需求的深入调研，根据调研结论对规划实施方案和开发建设导引进行适时调整和优化。</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第二，扩大群众参与，做好规划宣传。一是</w:t>
      </w:r>
      <w:r>
        <w:rPr>
          <w:rFonts w:hint="eastAsia" w:ascii="仿宋_GB2312" w:hAnsi="仿宋" w:eastAsia="仿宋_GB2312" w:cs="Times New Roman"/>
          <w:sz w:val="32"/>
          <w:szCs w:val="40"/>
        </w:rPr>
        <w:t>进一步做好包括规划调整在内的规划后群众参与工作，在网站公示和意见征求之外，通过问卷、座谈会、上门走访等多种方式扩大群众参与。</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除了让群众参与规划成果的意见反馈外，应让群众更多地参与到设施选址、开发建设导引设计、实施方案和政策制定讨论、政策宣传和散埋乱葬治理等具体工作中去。针对每一处殡葬设施改扩建和新建均应开展群众问卷调查和访谈。</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继续做好殡葬改革政策、惠民政策、殡葬设施及其规划的宣传工作，如编制殡葬便民服务指南、发出文明绿色殡葬倡议书、建立常态化意见征求和论政平台、开展殡葬改革宣传月活动、树立文明绿色殡葬典型等。</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第三，加强对京津冀殡葬服务协同发展的研究和规划。一是</w:t>
      </w:r>
      <w:r>
        <w:rPr>
          <w:rFonts w:hint="eastAsia" w:ascii="仿宋_GB2312" w:hAnsi="仿宋" w:eastAsia="仿宋_GB2312" w:cs="Times New Roman"/>
          <w:sz w:val="32"/>
          <w:szCs w:val="40"/>
        </w:rPr>
        <w:t>深入研究京津冀殡葬服务政策、规划、资源和需求，明确自身定位，加强《专项规划》与京津冀殡葬服务政策规划的衔接。</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挖掘在京津冀殡葬服务协同发展中的合作点和资源优势，积极参与推动跨区域殡葬资源优势互补、差异化融合发展。</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发挥北辰区在京津冀协同发展中的枢纽地位，在殡葬服务设施建设、服务供给和殡葬改革中加强与天津其他区的合作，大力引进北京资源，加强规划设计、殡葬改革和散埋乱葬治理经验交流，实现跨区域内殡葬设施及服务的供需平衡。</w:t>
      </w:r>
    </w:p>
    <w:p>
      <w:pPr>
        <w:spacing w:line="560" w:lineRule="exact"/>
        <w:ind w:firstLine="642" w:firstLineChars="200"/>
        <w:rPr>
          <w:rFonts w:ascii="仿宋_GB2312" w:hAnsi="仿宋" w:eastAsia="仿宋_GB2312" w:cs="Times New Roman"/>
          <w:sz w:val="32"/>
          <w:szCs w:val="40"/>
        </w:rPr>
      </w:pPr>
      <w:r>
        <w:rPr>
          <w:rFonts w:hint="eastAsia" w:ascii="仿宋_GB2312" w:hAnsi="仿宋" w:eastAsia="仿宋_GB2312" w:cs="Times New Roman"/>
          <w:b/>
          <w:bCs/>
          <w:sz w:val="32"/>
          <w:szCs w:val="40"/>
        </w:rPr>
        <w:t>第四，加快体制机制改革创新，加强殡葬设施综合利用和智慧殡葬建设。一是</w:t>
      </w:r>
      <w:r>
        <w:rPr>
          <w:rFonts w:hint="eastAsia" w:ascii="仿宋_GB2312" w:hAnsi="仿宋" w:eastAsia="仿宋_GB2312" w:cs="Times New Roman"/>
          <w:sz w:val="32"/>
          <w:szCs w:val="40"/>
        </w:rPr>
        <w:t>积极对接自然资源、林业、住建等部门，明确殡葬用地范围；打造“林下公墓”模式，对不破坏林相、不砍伐林木建设的林下公墓采取林业用地备案制度；不断完善殡葬建设项目审批，保障公益性墓地建设按规划有序推进。</w:t>
      </w:r>
      <w:r>
        <w:rPr>
          <w:rFonts w:hint="eastAsia" w:ascii="仿宋_GB2312" w:hAnsi="仿宋" w:eastAsia="仿宋_GB2312" w:cs="Times New Roman"/>
          <w:b/>
          <w:bCs/>
          <w:sz w:val="32"/>
          <w:szCs w:val="40"/>
        </w:rPr>
        <w:t>二是</w:t>
      </w:r>
      <w:r>
        <w:rPr>
          <w:rFonts w:hint="eastAsia" w:ascii="仿宋_GB2312" w:hAnsi="仿宋" w:eastAsia="仿宋_GB2312" w:cs="Times New Roman"/>
          <w:sz w:val="32"/>
          <w:szCs w:val="40"/>
        </w:rPr>
        <w:t>加强殡葬设施的综合性和创新性利用，建设生命主题公园、生命博物馆等公园化墓地，探索殡葬服务与文化、休闲、教育等功能的复合利用，并做好殡葬设施设备碳排放监测。</w:t>
      </w:r>
      <w:r>
        <w:rPr>
          <w:rFonts w:hint="eastAsia" w:ascii="仿宋_GB2312" w:hAnsi="仿宋" w:eastAsia="仿宋_GB2312" w:cs="Times New Roman"/>
          <w:b/>
          <w:bCs/>
          <w:sz w:val="32"/>
          <w:szCs w:val="40"/>
        </w:rPr>
        <w:t>三是</w:t>
      </w:r>
      <w:r>
        <w:rPr>
          <w:rFonts w:hint="eastAsia" w:ascii="仿宋_GB2312" w:hAnsi="仿宋" w:eastAsia="仿宋_GB2312" w:cs="Times New Roman"/>
          <w:sz w:val="32"/>
          <w:szCs w:val="40"/>
        </w:rPr>
        <w:t>大力发展智慧殡葬，打造类似南京市“宁思念”平台、苏州市“身后一件事”一网通办、广州市“互联网＋殡葬服务”等一体化信息服务平台，提高群众殡葬事务办理效率，推广在线祭扫，倡导文明绿色智慧殡葬。</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华文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988071"/>
      <w:docPartObj>
        <w:docPartGallery w:val="AutoText"/>
      </w:docPartObj>
    </w:sdtPr>
    <w:sdtContent>
      <w:p>
        <w:pPr>
          <w:pStyle w:val="9"/>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034365"/>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jc w:val="both"/>
        <w:rPr>
          <w:rFonts w:eastAsia="楷体_GB2312"/>
        </w:rPr>
      </w:pPr>
      <w:r>
        <w:rPr>
          <w:rStyle w:val="19"/>
          <w:rFonts w:hint="eastAsia" w:eastAsia="楷体_GB2312"/>
        </w:rPr>
        <w:footnoteRef/>
      </w:r>
      <w:r>
        <w:rPr>
          <w:rFonts w:hint="eastAsia" w:eastAsia="楷体_GB2312"/>
        </w:rPr>
        <w:t xml:space="preserve"> 根据规划，2021-2035年，北仓镇三义村骨灰堂、宜兴埠镇二街骨灰堂、天穆镇回民公墓将进行冻结式管理、平迁或就地深埋。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heme="majorHAnsi"/>
      </w:rPr>
    </w:pPr>
    <w:r>
      <w:rPr>
        <w:rFonts w:hint="eastAsia" w:asciiTheme="majorHAnsi"/>
      </w:rPr>
      <w:t>天津市北辰区殡葬服务设施布局专项规划</w:t>
    </w:r>
    <w:r>
      <w:rPr>
        <w:rFonts w:hint="eastAsia"/>
      </w:rPr>
      <w:t>（2</w:t>
    </w:r>
    <w:r>
      <w:t>021-2035</w:t>
    </w:r>
    <w:r>
      <w:rPr>
        <w:rFonts w:hint="eastAsia"/>
      </w:rPr>
      <w:t>年）</w:t>
    </w:r>
    <w:r>
      <w:rPr>
        <w:rFonts w:hint="eastAsia" w:asciiTheme="majorHAnsi"/>
      </w:rPr>
      <w:t>风险评估报告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E6831"/>
    <w:multiLevelType w:val="multilevel"/>
    <w:tmpl w:val="5FEE6831"/>
    <w:lvl w:ilvl="0" w:tentative="0">
      <w:start w:val="1"/>
      <w:numFmt w:val="japaneseCounting"/>
      <w:lvlText w:val="%1、"/>
      <w:lvlJc w:val="left"/>
      <w:pPr>
        <w:ind w:left="735" w:hanging="73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80"/>
    <w:rsid w:val="000000F5"/>
    <w:rsid w:val="00002698"/>
    <w:rsid w:val="00002CCB"/>
    <w:rsid w:val="00002F46"/>
    <w:rsid w:val="00004D9D"/>
    <w:rsid w:val="0000551A"/>
    <w:rsid w:val="00005AA9"/>
    <w:rsid w:val="000060F0"/>
    <w:rsid w:val="00006CF0"/>
    <w:rsid w:val="0000772E"/>
    <w:rsid w:val="00011ABA"/>
    <w:rsid w:val="000140A5"/>
    <w:rsid w:val="00015EFD"/>
    <w:rsid w:val="000166A5"/>
    <w:rsid w:val="000214F0"/>
    <w:rsid w:val="00022717"/>
    <w:rsid w:val="00022B72"/>
    <w:rsid w:val="00022F2B"/>
    <w:rsid w:val="00023624"/>
    <w:rsid w:val="00023EB5"/>
    <w:rsid w:val="00024E78"/>
    <w:rsid w:val="00024F6E"/>
    <w:rsid w:val="000250BF"/>
    <w:rsid w:val="000256CE"/>
    <w:rsid w:val="00025E65"/>
    <w:rsid w:val="00027706"/>
    <w:rsid w:val="0003188B"/>
    <w:rsid w:val="00032300"/>
    <w:rsid w:val="000342C1"/>
    <w:rsid w:val="00037316"/>
    <w:rsid w:val="00037AC5"/>
    <w:rsid w:val="00040219"/>
    <w:rsid w:val="0004113D"/>
    <w:rsid w:val="00041C14"/>
    <w:rsid w:val="00043956"/>
    <w:rsid w:val="000453CE"/>
    <w:rsid w:val="000456EC"/>
    <w:rsid w:val="00050EA4"/>
    <w:rsid w:val="000522B4"/>
    <w:rsid w:val="000534ED"/>
    <w:rsid w:val="00053C1B"/>
    <w:rsid w:val="00054528"/>
    <w:rsid w:val="00054584"/>
    <w:rsid w:val="000548DD"/>
    <w:rsid w:val="000566F4"/>
    <w:rsid w:val="00057627"/>
    <w:rsid w:val="000606B7"/>
    <w:rsid w:val="00061B42"/>
    <w:rsid w:val="0006250F"/>
    <w:rsid w:val="00064AC4"/>
    <w:rsid w:val="00064B90"/>
    <w:rsid w:val="00064BE5"/>
    <w:rsid w:val="00064D65"/>
    <w:rsid w:val="00065A17"/>
    <w:rsid w:val="0007026F"/>
    <w:rsid w:val="0007069F"/>
    <w:rsid w:val="00072BAC"/>
    <w:rsid w:val="00072E80"/>
    <w:rsid w:val="00072E8B"/>
    <w:rsid w:val="00073854"/>
    <w:rsid w:val="00074A2A"/>
    <w:rsid w:val="00074A6D"/>
    <w:rsid w:val="00074B36"/>
    <w:rsid w:val="00075B41"/>
    <w:rsid w:val="00076181"/>
    <w:rsid w:val="00077242"/>
    <w:rsid w:val="0007753B"/>
    <w:rsid w:val="0008034D"/>
    <w:rsid w:val="000814AA"/>
    <w:rsid w:val="000827B9"/>
    <w:rsid w:val="00082E91"/>
    <w:rsid w:val="00083026"/>
    <w:rsid w:val="00083831"/>
    <w:rsid w:val="00085324"/>
    <w:rsid w:val="0008658A"/>
    <w:rsid w:val="0008740C"/>
    <w:rsid w:val="00091A60"/>
    <w:rsid w:val="00091ED0"/>
    <w:rsid w:val="0009235F"/>
    <w:rsid w:val="00092742"/>
    <w:rsid w:val="00093A13"/>
    <w:rsid w:val="000949DC"/>
    <w:rsid w:val="00094DFB"/>
    <w:rsid w:val="0009534A"/>
    <w:rsid w:val="00097370"/>
    <w:rsid w:val="000A0AD5"/>
    <w:rsid w:val="000A0C7D"/>
    <w:rsid w:val="000A1585"/>
    <w:rsid w:val="000A1AA0"/>
    <w:rsid w:val="000A1B9D"/>
    <w:rsid w:val="000A5088"/>
    <w:rsid w:val="000A53B9"/>
    <w:rsid w:val="000A70D8"/>
    <w:rsid w:val="000A7D2A"/>
    <w:rsid w:val="000B1020"/>
    <w:rsid w:val="000B1A7C"/>
    <w:rsid w:val="000B1D5B"/>
    <w:rsid w:val="000B2E9D"/>
    <w:rsid w:val="000B3709"/>
    <w:rsid w:val="000B5215"/>
    <w:rsid w:val="000B55C5"/>
    <w:rsid w:val="000B576D"/>
    <w:rsid w:val="000B5DC9"/>
    <w:rsid w:val="000B7237"/>
    <w:rsid w:val="000C07A6"/>
    <w:rsid w:val="000C092E"/>
    <w:rsid w:val="000C14DC"/>
    <w:rsid w:val="000C31C1"/>
    <w:rsid w:val="000C4B23"/>
    <w:rsid w:val="000C5F49"/>
    <w:rsid w:val="000C621D"/>
    <w:rsid w:val="000C6B1D"/>
    <w:rsid w:val="000C72ED"/>
    <w:rsid w:val="000C75BC"/>
    <w:rsid w:val="000C7A8E"/>
    <w:rsid w:val="000D10DC"/>
    <w:rsid w:val="000D1907"/>
    <w:rsid w:val="000D1B4D"/>
    <w:rsid w:val="000D2F33"/>
    <w:rsid w:val="000D3C74"/>
    <w:rsid w:val="000D4F0D"/>
    <w:rsid w:val="000D557D"/>
    <w:rsid w:val="000D55DF"/>
    <w:rsid w:val="000D58FF"/>
    <w:rsid w:val="000D5B08"/>
    <w:rsid w:val="000D642C"/>
    <w:rsid w:val="000E002E"/>
    <w:rsid w:val="000E0200"/>
    <w:rsid w:val="000E09C5"/>
    <w:rsid w:val="000E1268"/>
    <w:rsid w:val="000E166E"/>
    <w:rsid w:val="000E3B45"/>
    <w:rsid w:val="000E424D"/>
    <w:rsid w:val="000E51F2"/>
    <w:rsid w:val="000E5BC1"/>
    <w:rsid w:val="000E5C8D"/>
    <w:rsid w:val="000E68A1"/>
    <w:rsid w:val="000E6A81"/>
    <w:rsid w:val="000E7EA5"/>
    <w:rsid w:val="000F0C16"/>
    <w:rsid w:val="000F12EA"/>
    <w:rsid w:val="000F16BF"/>
    <w:rsid w:val="000F2177"/>
    <w:rsid w:val="000F2743"/>
    <w:rsid w:val="000F2EB1"/>
    <w:rsid w:val="000F32D9"/>
    <w:rsid w:val="000F34A8"/>
    <w:rsid w:val="000F44D4"/>
    <w:rsid w:val="000F46E7"/>
    <w:rsid w:val="000F54F3"/>
    <w:rsid w:val="000F638B"/>
    <w:rsid w:val="000F64E0"/>
    <w:rsid w:val="000F7689"/>
    <w:rsid w:val="000F77B1"/>
    <w:rsid w:val="00100541"/>
    <w:rsid w:val="001008ED"/>
    <w:rsid w:val="0010103F"/>
    <w:rsid w:val="001024C4"/>
    <w:rsid w:val="0010273D"/>
    <w:rsid w:val="00102ED6"/>
    <w:rsid w:val="001031EB"/>
    <w:rsid w:val="00104849"/>
    <w:rsid w:val="00104A65"/>
    <w:rsid w:val="00104DA9"/>
    <w:rsid w:val="00106269"/>
    <w:rsid w:val="00106489"/>
    <w:rsid w:val="00106490"/>
    <w:rsid w:val="001068E8"/>
    <w:rsid w:val="00107395"/>
    <w:rsid w:val="00107499"/>
    <w:rsid w:val="00107B3F"/>
    <w:rsid w:val="00110192"/>
    <w:rsid w:val="00112535"/>
    <w:rsid w:val="00113284"/>
    <w:rsid w:val="00116150"/>
    <w:rsid w:val="00116199"/>
    <w:rsid w:val="00116C6E"/>
    <w:rsid w:val="001171A0"/>
    <w:rsid w:val="00117AFF"/>
    <w:rsid w:val="001206B8"/>
    <w:rsid w:val="00120D40"/>
    <w:rsid w:val="001228BD"/>
    <w:rsid w:val="00122FC3"/>
    <w:rsid w:val="001232F6"/>
    <w:rsid w:val="00125CC1"/>
    <w:rsid w:val="0012605D"/>
    <w:rsid w:val="001269BD"/>
    <w:rsid w:val="00127764"/>
    <w:rsid w:val="00130F16"/>
    <w:rsid w:val="00130F59"/>
    <w:rsid w:val="00131757"/>
    <w:rsid w:val="00133A3F"/>
    <w:rsid w:val="00133C69"/>
    <w:rsid w:val="00134541"/>
    <w:rsid w:val="00134805"/>
    <w:rsid w:val="001360D0"/>
    <w:rsid w:val="00136C18"/>
    <w:rsid w:val="0013753B"/>
    <w:rsid w:val="00137E4C"/>
    <w:rsid w:val="00140739"/>
    <w:rsid w:val="001411F4"/>
    <w:rsid w:val="00142850"/>
    <w:rsid w:val="00143A8F"/>
    <w:rsid w:val="00144001"/>
    <w:rsid w:val="001442F0"/>
    <w:rsid w:val="00145CEC"/>
    <w:rsid w:val="001468BB"/>
    <w:rsid w:val="00146D93"/>
    <w:rsid w:val="00147631"/>
    <w:rsid w:val="00150125"/>
    <w:rsid w:val="00150536"/>
    <w:rsid w:val="00150854"/>
    <w:rsid w:val="001509D4"/>
    <w:rsid w:val="00150FD2"/>
    <w:rsid w:val="0015166A"/>
    <w:rsid w:val="00153B72"/>
    <w:rsid w:val="00154FE5"/>
    <w:rsid w:val="001550BD"/>
    <w:rsid w:val="00156682"/>
    <w:rsid w:val="001600B5"/>
    <w:rsid w:val="001604FC"/>
    <w:rsid w:val="00161222"/>
    <w:rsid w:val="0016180B"/>
    <w:rsid w:val="00161A51"/>
    <w:rsid w:val="00161D1D"/>
    <w:rsid w:val="001634BF"/>
    <w:rsid w:val="00167FA5"/>
    <w:rsid w:val="00171FF6"/>
    <w:rsid w:val="00172EBA"/>
    <w:rsid w:val="00173872"/>
    <w:rsid w:val="00174549"/>
    <w:rsid w:val="00175DBA"/>
    <w:rsid w:val="00176E57"/>
    <w:rsid w:val="00176EF1"/>
    <w:rsid w:val="00180F58"/>
    <w:rsid w:val="001815E4"/>
    <w:rsid w:val="00182551"/>
    <w:rsid w:val="0018397E"/>
    <w:rsid w:val="00183B5D"/>
    <w:rsid w:val="00183D5D"/>
    <w:rsid w:val="001923EF"/>
    <w:rsid w:val="00192872"/>
    <w:rsid w:val="00192907"/>
    <w:rsid w:val="001933EB"/>
    <w:rsid w:val="0019361B"/>
    <w:rsid w:val="00194220"/>
    <w:rsid w:val="00195244"/>
    <w:rsid w:val="00195D51"/>
    <w:rsid w:val="00196812"/>
    <w:rsid w:val="0019715A"/>
    <w:rsid w:val="00197231"/>
    <w:rsid w:val="00197602"/>
    <w:rsid w:val="001A0465"/>
    <w:rsid w:val="001A09B8"/>
    <w:rsid w:val="001A177F"/>
    <w:rsid w:val="001A234F"/>
    <w:rsid w:val="001A3E07"/>
    <w:rsid w:val="001A4286"/>
    <w:rsid w:val="001A4A56"/>
    <w:rsid w:val="001A5EBB"/>
    <w:rsid w:val="001A6541"/>
    <w:rsid w:val="001A690C"/>
    <w:rsid w:val="001A7224"/>
    <w:rsid w:val="001B20E6"/>
    <w:rsid w:val="001B2201"/>
    <w:rsid w:val="001B2B35"/>
    <w:rsid w:val="001B3663"/>
    <w:rsid w:val="001B39CC"/>
    <w:rsid w:val="001B3BE6"/>
    <w:rsid w:val="001B4640"/>
    <w:rsid w:val="001B59E1"/>
    <w:rsid w:val="001B610D"/>
    <w:rsid w:val="001B628A"/>
    <w:rsid w:val="001B6EBB"/>
    <w:rsid w:val="001B7AF8"/>
    <w:rsid w:val="001C1036"/>
    <w:rsid w:val="001C2FCE"/>
    <w:rsid w:val="001C311F"/>
    <w:rsid w:val="001C32E9"/>
    <w:rsid w:val="001C4FDF"/>
    <w:rsid w:val="001C53C0"/>
    <w:rsid w:val="001C5BE1"/>
    <w:rsid w:val="001D024B"/>
    <w:rsid w:val="001D0474"/>
    <w:rsid w:val="001D145E"/>
    <w:rsid w:val="001D3CAE"/>
    <w:rsid w:val="001D43E2"/>
    <w:rsid w:val="001D4709"/>
    <w:rsid w:val="001D493C"/>
    <w:rsid w:val="001D5C80"/>
    <w:rsid w:val="001D6551"/>
    <w:rsid w:val="001D72E9"/>
    <w:rsid w:val="001D7513"/>
    <w:rsid w:val="001E0BCD"/>
    <w:rsid w:val="001E0EF9"/>
    <w:rsid w:val="001E2A83"/>
    <w:rsid w:val="001E5843"/>
    <w:rsid w:val="001E5F88"/>
    <w:rsid w:val="001E6C8C"/>
    <w:rsid w:val="001E6F73"/>
    <w:rsid w:val="001E7023"/>
    <w:rsid w:val="001E7B29"/>
    <w:rsid w:val="001F10A3"/>
    <w:rsid w:val="001F2243"/>
    <w:rsid w:val="001F25EC"/>
    <w:rsid w:val="001F2B3A"/>
    <w:rsid w:val="001F3539"/>
    <w:rsid w:val="001F404F"/>
    <w:rsid w:val="001F513D"/>
    <w:rsid w:val="001F52AF"/>
    <w:rsid w:val="001F7735"/>
    <w:rsid w:val="001F7D85"/>
    <w:rsid w:val="001F7DFC"/>
    <w:rsid w:val="00200895"/>
    <w:rsid w:val="00202440"/>
    <w:rsid w:val="002033BC"/>
    <w:rsid w:val="00203445"/>
    <w:rsid w:val="00203D81"/>
    <w:rsid w:val="00203F8C"/>
    <w:rsid w:val="002054ED"/>
    <w:rsid w:val="0020625D"/>
    <w:rsid w:val="00207AFC"/>
    <w:rsid w:val="00211EAC"/>
    <w:rsid w:val="00211F4F"/>
    <w:rsid w:val="00213828"/>
    <w:rsid w:val="00213E29"/>
    <w:rsid w:val="002150F4"/>
    <w:rsid w:val="00215A50"/>
    <w:rsid w:val="002168FB"/>
    <w:rsid w:val="00220EF1"/>
    <w:rsid w:val="00221E47"/>
    <w:rsid w:val="002233D0"/>
    <w:rsid w:val="002235A9"/>
    <w:rsid w:val="00224A07"/>
    <w:rsid w:val="00224F39"/>
    <w:rsid w:val="00224FD7"/>
    <w:rsid w:val="00225112"/>
    <w:rsid w:val="0022526F"/>
    <w:rsid w:val="00226542"/>
    <w:rsid w:val="00226E23"/>
    <w:rsid w:val="00230229"/>
    <w:rsid w:val="00230E10"/>
    <w:rsid w:val="00230E19"/>
    <w:rsid w:val="00230EED"/>
    <w:rsid w:val="00231997"/>
    <w:rsid w:val="00232351"/>
    <w:rsid w:val="002327FA"/>
    <w:rsid w:val="00232E36"/>
    <w:rsid w:val="00234F72"/>
    <w:rsid w:val="00236364"/>
    <w:rsid w:val="00236DFA"/>
    <w:rsid w:val="00237263"/>
    <w:rsid w:val="00237A5B"/>
    <w:rsid w:val="00240332"/>
    <w:rsid w:val="00241519"/>
    <w:rsid w:val="002418DC"/>
    <w:rsid w:val="00242875"/>
    <w:rsid w:val="00242FA4"/>
    <w:rsid w:val="002454D6"/>
    <w:rsid w:val="002465E5"/>
    <w:rsid w:val="00247D54"/>
    <w:rsid w:val="00251485"/>
    <w:rsid w:val="0025193A"/>
    <w:rsid w:val="0025196E"/>
    <w:rsid w:val="0025243F"/>
    <w:rsid w:val="0025418E"/>
    <w:rsid w:val="0025501F"/>
    <w:rsid w:val="002553C2"/>
    <w:rsid w:val="00255AE0"/>
    <w:rsid w:val="00255E4C"/>
    <w:rsid w:val="002566AF"/>
    <w:rsid w:val="00256E12"/>
    <w:rsid w:val="00257EDA"/>
    <w:rsid w:val="002601AD"/>
    <w:rsid w:val="002609BF"/>
    <w:rsid w:val="00260CB0"/>
    <w:rsid w:val="002619B2"/>
    <w:rsid w:val="00261E5D"/>
    <w:rsid w:val="002620D5"/>
    <w:rsid w:val="00263E58"/>
    <w:rsid w:val="00264345"/>
    <w:rsid w:val="0026436B"/>
    <w:rsid w:val="0026581C"/>
    <w:rsid w:val="0026625E"/>
    <w:rsid w:val="0026732C"/>
    <w:rsid w:val="002700F9"/>
    <w:rsid w:val="00272784"/>
    <w:rsid w:val="00273C91"/>
    <w:rsid w:val="002744D1"/>
    <w:rsid w:val="00274EA6"/>
    <w:rsid w:val="00275B2C"/>
    <w:rsid w:val="002764D9"/>
    <w:rsid w:val="002814F8"/>
    <w:rsid w:val="002816C2"/>
    <w:rsid w:val="00281919"/>
    <w:rsid w:val="00283800"/>
    <w:rsid w:val="00284C4C"/>
    <w:rsid w:val="00286720"/>
    <w:rsid w:val="0028749A"/>
    <w:rsid w:val="00291481"/>
    <w:rsid w:val="00292B05"/>
    <w:rsid w:val="00292C85"/>
    <w:rsid w:val="0029333B"/>
    <w:rsid w:val="00294890"/>
    <w:rsid w:val="0029518B"/>
    <w:rsid w:val="00295461"/>
    <w:rsid w:val="00295661"/>
    <w:rsid w:val="002963EF"/>
    <w:rsid w:val="00296612"/>
    <w:rsid w:val="0029720D"/>
    <w:rsid w:val="002A0349"/>
    <w:rsid w:val="002A0B44"/>
    <w:rsid w:val="002A22E0"/>
    <w:rsid w:val="002A283E"/>
    <w:rsid w:val="002A28C2"/>
    <w:rsid w:val="002A4F61"/>
    <w:rsid w:val="002A5077"/>
    <w:rsid w:val="002A5331"/>
    <w:rsid w:val="002A61D9"/>
    <w:rsid w:val="002A6515"/>
    <w:rsid w:val="002A6AA9"/>
    <w:rsid w:val="002A7DA6"/>
    <w:rsid w:val="002B0D4D"/>
    <w:rsid w:val="002B1B09"/>
    <w:rsid w:val="002B2101"/>
    <w:rsid w:val="002B332E"/>
    <w:rsid w:val="002B3391"/>
    <w:rsid w:val="002B3997"/>
    <w:rsid w:val="002B3FEB"/>
    <w:rsid w:val="002B4617"/>
    <w:rsid w:val="002C041F"/>
    <w:rsid w:val="002C1A80"/>
    <w:rsid w:val="002C1E7F"/>
    <w:rsid w:val="002C211E"/>
    <w:rsid w:val="002C3A40"/>
    <w:rsid w:val="002C53A9"/>
    <w:rsid w:val="002C6491"/>
    <w:rsid w:val="002C662E"/>
    <w:rsid w:val="002C66FB"/>
    <w:rsid w:val="002C726A"/>
    <w:rsid w:val="002D08A9"/>
    <w:rsid w:val="002D15EC"/>
    <w:rsid w:val="002D272C"/>
    <w:rsid w:val="002D3446"/>
    <w:rsid w:val="002D4F74"/>
    <w:rsid w:val="002D564B"/>
    <w:rsid w:val="002D5ABD"/>
    <w:rsid w:val="002D616D"/>
    <w:rsid w:val="002D6996"/>
    <w:rsid w:val="002D6D18"/>
    <w:rsid w:val="002D73A3"/>
    <w:rsid w:val="002D7787"/>
    <w:rsid w:val="002E060A"/>
    <w:rsid w:val="002E122F"/>
    <w:rsid w:val="002E20C8"/>
    <w:rsid w:val="002E289B"/>
    <w:rsid w:val="002E34D4"/>
    <w:rsid w:val="002E363C"/>
    <w:rsid w:val="002E43B7"/>
    <w:rsid w:val="002E4C6C"/>
    <w:rsid w:val="002E577A"/>
    <w:rsid w:val="002E681B"/>
    <w:rsid w:val="002E6E79"/>
    <w:rsid w:val="002E7572"/>
    <w:rsid w:val="002E7622"/>
    <w:rsid w:val="002E7C5C"/>
    <w:rsid w:val="002F05BE"/>
    <w:rsid w:val="002F0D56"/>
    <w:rsid w:val="002F181B"/>
    <w:rsid w:val="002F192D"/>
    <w:rsid w:val="002F2BA7"/>
    <w:rsid w:val="002F474E"/>
    <w:rsid w:val="002F5E2C"/>
    <w:rsid w:val="002F6190"/>
    <w:rsid w:val="002F64E2"/>
    <w:rsid w:val="002F6CF9"/>
    <w:rsid w:val="002F7923"/>
    <w:rsid w:val="003005FB"/>
    <w:rsid w:val="00300673"/>
    <w:rsid w:val="00301E63"/>
    <w:rsid w:val="00302681"/>
    <w:rsid w:val="00302848"/>
    <w:rsid w:val="00302D3A"/>
    <w:rsid w:val="003034C0"/>
    <w:rsid w:val="00303F59"/>
    <w:rsid w:val="003065B3"/>
    <w:rsid w:val="00306B35"/>
    <w:rsid w:val="00307F5A"/>
    <w:rsid w:val="0031100A"/>
    <w:rsid w:val="00311E5E"/>
    <w:rsid w:val="00311FCD"/>
    <w:rsid w:val="00312142"/>
    <w:rsid w:val="00312143"/>
    <w:rsid w:val="003122F6"/>
    <w:rsid w:val="003138FB"/>
    <w:rsid w:val="00313DD1"/>
    <w:rsid w:val="00314240"/>
    <w:rsid w:val="00314F90"/>
    <w:rsid w:val="00315107"/>
    <w:rsid w:val="00315190"/>
    <w:rsid w:val="00315497"/>
    <w:rsid w:val="00315BEC"/>
    <w:rsid w:val="00315D12"/>
    <w:rsid w:val="0031603B"/>
    <w:rsid w:val="00316BDA"/>
    <w:rsid w:val="0031737B"/>
    <w:rsid w:val="00320398"/>
    <w:rsid w:val="0032097D"/>
    <w:rsid w:val="003222C6"/>
    <w:rsid w:val="0032262A"/>
    <w:rsid w:val="00323C59"/>
    <w:rsid w:val="003241A9"/>
    <w:rsid w:val="00326E16"/>
    <w:rsid w:val="00327CE5"/>
    <w:rsid w:val="003309A1"/>
    <w:rsid w:val="003312B8"/>
    <w:rsid w:val="003318EB"/>
    <w:rsid w:val="00331C89"/>
    <w:rsid w:val="00331F25"/>
    <w:rsid w:val="0033226C"/>
    <w:rsid w:val="00333F79"/>
    <w:rsid w:val="003358D6"/>
    <w:rsid w:val="0033613F"/>
    <w:rsid w:val="00336B19"/>
    <w:rsid w:val="003378E1"/>
    <w:rsid w:val="0034197F"/>
    <w:rsid w:val="00341FA0"/>
    <w:rsid w:val="003447A7"/>
    <w:rsid w:val="00345C0E"/>
    <w:rsid w:val="00346E29"/>
    <w:rsid w:val="00347388"/>
    <w:rsid w:val="00347D71"/>
    <w:rsid w:val="003519DA"/>
    <w:rsid w:val="0035204A"/>
    <w:rsid w:val="003523E6"/>
    <w:rsid w:val="003525B1"/>
    <w:rsid w:val="00352CF6"/>
    <w:rsid w:val="0035471D"/>
    <w:rsid w:val="003547F0"/>
    <w:rsid w:val="00354E1B"/>
    <w:rsid w:val="00360D17"/>
    <w:rsid w:val="0036221A"/>
    <w:rsid w:val="003625CC"/>
    <w:rsid w:val="00363C1A"/>
    <w:rsid w:val="00363F82"/>
    <w:rsid w:val="003656D1"/>
    <w:rsid w:val="00365823"/>
    <w:rsid w:val="003662FF"/>
    <w:rsid w:val="0036662D"/>
    <w:rsid w:val="00366C12"/>
    <w:rsid w:val="00366CA5"/>
    <w:rsid w:val="00367719"/>
    <w:rsid w:val="00367A18"/>
    <w:rsid w:val="00367D54"/>
    <w:rsid w:val="0037092A"/>
    <w:rsid w:val="00371016"/>
    <w:rsid w:val="00372763"/>
    <w:rsid w:val="00372F1A"/>
    <w:rsid w:val="003736D1"/>
    <w:rsid w:val="00373F14"/>
    <w:rsid w:val="00375C2F"/>
    <w:rsid w:val="0037651D"/>
    <w:rsid w:val="00376BC3"/>
    <w:rsid w:val="00376D27"/>
    <w:rsid w:val="00377F55"/>
    <w:rsid w:val="00380435"/>
    <w:rsid w:val="00380BB1"/>
    <w:rsid w:val="00380D35"/>
    <w:rsid w:val="003827C4"/>
    <w:rsid w:val="00384CB2"/>
    <w:rsid w:val="003866D2"/>
    <w:rsid w:val="00387F63"/>
    <w:rsid w:val="003901C5"/>
    <w:rsid w:val="00390C1A"/>
    <w:rsid w:val="00391A8F"/>
    <w:rsid w:val="00391D2E"/>
    <w:rsid w:val="00392D39"/>
    <w:rsid w:val="00392FEC"/>
    <w:rsid w:val="00394A1A"/>
    <w:rsid w:val="00394BA7"/>
    <w:rsid w:val="00394D36"/>
    <w:rsid w:val="00394DEF"/>
    <w:rsid w:val="0039534C"/>
    <w:rsid w:val="003958C2"/>
    <w:rsid w:val="0039612D"/>
    <w:rsid w:val="003978C1"/>
    <w:rsid w:val="003A058D"/>
    <w:rsid w:val="003A1647"/>
    <w:rsid w:val="003A3D54"/>
    <w:rsid w:val="003A5766"/>
    <w:rsid w:val="003A6AB6"/>
    <w:rsid w:val="003A7495"/>
    <w:rsid w:val="003A78CB"/>
    <w:rsid w:val="003B1B8B"/>
    <w:rsid w:val="003B1E5A"/>
    <w:rsid w:val="003B202B"/>
    <w:rsid w:val="003B21F3"/>
    <w:rsid w:val="003B3E4B"/>
    <w:rsid w:val="003B4309"/>
    <w:rsid w:val="003B444D"/>
    <w:rsid w:val="003B4D0A"/>
    <w:rsid w:val="003B6C52"/>
    <w:rsid w:val="003B788B"/>
    <w:rsid w:val="003C1057"/>
    <w:rsid w:val="003C34C3"/>
    <w:rsid w:val="003C4A5F"/>
    <w:rsid w:val="003C55D3"/>
    <w:rsid w:val="003C5BAE"/>
    <w:rsid w:val="003C5E1C"/>
    <w:rsid w:val="003C6A28"/>
    <w:rsid w:val="003C7407"/>
    <w:rsid w:val="003D101E"/>
    <w:rsid w:val="003D1465"/>
    <w:rsid w:val="003D254C"/>
    <w:rsid w:val="003D3DD7"/>
    <w:rsid w:val="003D48AE"/>
    <w:rsid w:val="003D51DB"/>
    <w:rsid w:val="003D6599"/>
    <w:rsid w:val="003D6911"/>
    <w:rsid w:val="003D6B86"/>
    <w:rsid w:val="003E07C3"/>
    <w:rsid w:val="003E0CAE"/>
    <w:rsid w:val="003E12C6"/>
    <w:rsid w:val="003E31CC"/>
    <w:rsid w:val="003E4369"/>
    <w:rsid w:val="003E4430"/>
    <w:rsid w:val="003E4D9E"/>
    <w:rsid w:val="003E53BA"/>
    <w:rsid w:val="003E6652"/>
    <w:rsid w:val="003E7D74"/>
    <w:rsid w:val="003F1506"/>
    <w:rsid w:val="003F2625"/>
    <w:rsid w:val="003F26D6"/>
    <w:rsid w:val="003F3DF2"/>
    <w:rsid w:val="003F4F56"/>
    <w:rsid w:val="003F5B75"/>
    <w:rsid w:val="003F6D6C"/>
    <w:rsid w:val="003F6DA8"/>
    <w:rsid w:val="003F7E07"/>
    <w:rsid w:val="00400AFB"/>
    <w:rsid w:val="00401665"/>
    <w:rsid w:val="00402032"/>
    <w:rsid w:val="00403711"/>
    <w:rsid w:val="0040396C"/>
    <w:rsid w:val="004039FA"/>
    <w:rsid w:val="00403A59"/>
    <w:rsid w:val="00403C66"/>
    <w:rsid w:val="00403C9D"/>
    <w:rsid w:val="00404B1A"/>
    <w:rsid w:val="00404F5B"/>
    <w:rsid w:val="004055FA"/>
    <w:rsid w:val="00405AE4"/>
    <w:rsid w:val="00405AE9"/>
    <w:rsid w:val="00405E95"/>
    <w:rsid w:val="00406205"/>
    <w:rsid w:val="00406428"/>
    <w:rsid w:val="00407AA5"/>
    <w:rsid w:val="00407DF8"/>
    <w:rsid w:val="00407E9A"/>
    <w:rsid w:val="00410568"/>
    <w:rsid w:val="00410EC6"/>
    <w:rsid w:val="00411169"/>
    <w:rsid w:val="0041155D"/>
    <w:rsid w:val="00412993"/>
    <w:rsid w:val="00412F42"/>
    <w:rsid w:val="004135D2"/>
    <w:rsid w:val="00413D07"/>
    <w:rsid w:val="00414245"/>
    <w:rsid w:val="00414B0D"/>
    <w:rsid w:val="004153FB"/>
    <w:rsid w:val="004155BF"/>
    <w:rsid w:val="00416BBC"/>
    <w:rsid w:val="004173AA"/>
    <w:rsid w:val="00420089"/>
    <w:rsid w:val="00420A03"/>
    <w:rsid w:val="004217DE"/>
    <w:rsid w:val="00421920"/>
    <w:rsid w:val="004232D3"/>
    <w:rsid w:val="00423820"/>
    <w:rsid w:val="00423CAE"/>
    <w:rsid w:val="00424FFF"/>
    <w:rsid w:val="004260E1"/>
    <w:rsid w:val="00426114"/>
    <w:rsid w:val="00426B8C"/>
    <w:rsid w:val="00426F84"/>
    <w:rsid w:val="00430218"/>
    <w:rsid w:val="00430250"/>
    <w:rsid w:val="00430B43"/>
    <w:rsid w:val="004333A9"/>
    <w:rsid w:val="004336B0"/>
    <w:rsid w:val="00433E49"/>
    <w:rsid w:val="00433FF6"/>
    <w:rsid w:val="004341A5"/>
    <w:rsid w:val="00434329"/>
    <w:rsid w:val="00434ADE"/>
    <w:rsid w:val="00434D00"/>
    <w:rsid w:val="00434FB4"/>
    <w:rsid w:val="004357E5"/>
    <w:rsid w:val="00436D01"/>
    <w:rsid w:val="00440F9C"/>
    <w:rsid w:val="00441383"/>
    <w:rsid w:val="004423AE"/>
    <w:rsid w:val="00442BEA"/>
    <w:rsid w:val="00442D3A"/>
    <w:rsid w:val="00443A6A"/>
    <w:rsid w:val="004456C4"/>
    <w:rsid w:val="00446C4A"/>
    <w:rsid w:val="00447831"/>
    <w:rsid w:val="00447A9A"/>
    <w:rsid w:val="00451E3B"/>
    <w:rsid w:val="0045200D"/>
    <w:rsid w:val="00452267"/>
    <w:rsid w:val="00452F7D"/>
    <w:rsid w:val="00454582"/>
    <w:rsid w:val="004552EC"/>
    <w:rsid w:val="004572AE"/>
    <w:rsid w:val="00457A75"/>
    <w:rsid w:val="00457FE5"/>
    <w:rsid w:val="00461221"/>
    <w:rsid w:val="004614A6"/>
    <w:rsid w:val="00462D52"/>
    <w:rsid w:val="00464B32"/>
    <w:rsid w:val="0046538A"/>
    <w:rsid w:val="00465633"/>
    <w:rsid w:val="00467052"/>
    <w:rsid w:val="004678DF"/>
    <w:rsid w:val="00467EAF"/>
    <w:rsid w:val="004706C1"/>
    <w:rsid w:val="00470EA0"/>
    <w:rsid w:val="00471596"/>
    <w:rsid w:val="004718ED"/>
    <w:rsid w:val="00471D12"/>
    <w:rsid w:val="00471FAB"/>
    <w:rsid w:val="00472C16"/>
    <w:rsid w:val="00472C61"/>
    <w:rsid w:val="004735AE"/>
    <w:rsid w:val="00474BC7"/>
    <w:rsid w:val="00474E25"/>
    <w:rsid w:val="00474FF4"/>
    <w:rsid w:val="00475592"/>
    <w:rsid w:val="004758F9"/>
    <w:rsid w:val="004766C0"/>
    <w:rsid w:val="004776FA"/>
    <w:rsid w:val="00477AAE"/>
    <w:rsid w:val="00477B4E"/>
    <w:rsid w:val="0048072B"/>
    <w:rsid w:val="00481CDC"/>
    <w:rsid w:val="00481EC3"/>
    <w:rsid w:val="0048225E"/>
    <w:rsid w:val="00482FE4"/>
    <w:rsid w:val="0048469B"/>
    <w:rsid w:val="0048641F"/>
    <w:rsid w:val="004869C8"/>
    <w:rsid w:val="0048714A"/>
    <w:rsid w:val="004871A7"/>
    <w:rsid w:val="00487807"/>
    <w:rsid w:val="00487C5E"/>
    <w:rsid w:val="00491AB8"/>
    <w:rsid w:val="00491FF8"/>
    <w:rsid w:val="00493B3D"/>
    <w:rsid w:val="00493BDD"/>
    <w:rsid w:val="0049421C"/>
    <w:rsid w:val="004948A4"/>
    <w:rsid w:val="00495092"/>
    <w:rsid w:val="00495162"/>
    <w:rsid w:val="0049620A"/>
    <w:rsid w:val="004977D6"/>
    <w:rsid w:val="00497918"/>
    <w:rsid w:val="00497EA1"/>
    <w:rsid w:val="004A0388"/>
    <w:rsid w:val="004A1788"/>
    <w:rsid w:val="004A17B7"/>
    <w:rsid w:val="004A3758"/>
    <w:rsid w:val="004A4726"/>
    <w:rsid w:val="004A6165"/>
    <w:rsid w:val="004A7843"/>
    <w:rsid w:val="004A7ED9"/>
    <w:rsid w:val="004B1F27"/>
    <w:rsid w:val="004B23BC"/>
    <w:rsid w:val="004B3828"/>
    <w:rsid w:val="004B3B3B"/>
    <w:rsid w:val="004B412A"/>
    <w:rsid w:val="004B4B8F"/>
    <w:rsid w:val="004B4E28"/>
    <w:rsid w:val="004B5BC4"/>
    <w:rsid w:val="004B62AE"/>
    <w:rsid w:val="004B6427"/>
    <w:rsid w:val="004B679A"/>
    <w:rsid w:val="004B68FD"/>
    <w:rsid w:val="004B7894"/>
    <w:rsid w:val="004B7938"/>
    <w:rsid w:val="004C0834"/>
    <w:rsid w:val="004C1332"/>
    <w:rsid w:val="004C3ADE"/>
    <w:rsid w:val="004C4A72"/>
    <w:rsid w:val="004C4B86"/>
    <w:rsid w:val="004C5E20"/>
    <w:rsid w:val="004D17D6"/>
    <w:rsid w:val="004D1A8E"/>
    <w:rsid w:val="004D238D"/>
    <w:rsid w:val="004D3A95"/>
    <w:rsid w:val="004D3D37"/>
    <w:rsid w:val="004D3E21"/>
    <w:rsid w:val="004D4498"/>
    <w:rsid w:val="004D4BE2"/>
    <w:rsid w:val="004D63BC"/>
    <w:rsid w:val="004E0224"/>
    <w:rsid w:val="004E0EF1"/>
    <w:rsid w:val="004E126F"/>
    <w:rsid w:val="004E1329"/>
    <w:rsid w:val="004E21C8"/>
    <w:rsid w:val="004E2252"/>
    <w:rsid w:val="004E2262"/>
    <w:rsid w:val="004E2498"/>
    <w:rsid w:val="004E27A5"/>
    <w:rsid w:val="004E2C14"/>
    <w:rsid w:val="004E2DB4"/>
    <w:rsid w:val="004E4AF5"/>
    <w:rsid w:val="004E4D6F"/>
    <w:rsid w:val="004E75C5"/>
    <w:rsid w:val="004E7788"/>
    <w:rsid w:val="004E7C30"/>
    <w:rsid w:val="004E7CCD"/>
    <w:rsid w:val="004F01DE"/>
    <w:rsid w:val="004F041A"/>
    <w:rsid w:val="004F06BA"/>
    <w:rsid w:val="004F0822"/>
    <w:rsid w:val="004F2295"/>
    <w:rsid w:val="004F3A7C"/>
    <w:rsid w:val="004F3F47"/>
    <w:rsid w:val="004F4613"/>
    <w:rsid w:val="004F581D"/>
    <w:rsid w:val="004F64ED"/>
    <w:rsid w:val="005001F0"/>
    <w:rsid w:val="005005B6"/>
    <w:rsid w:val="00502A34"/>
    <w:rsid w:val="0050475B"/>
    <w:rsid w:val="00505D9B"/>
    <w:rsid w:val="00505E1B"/>
    <w:rsid w:val="005064BE"/>
    <w:rsid w:val="00506DD7"/>
    <w:rsid w:val="00510253"/>
    <w:rsid w:val="00510D72"/>
    <w:rsid w:val="00511101"/>
    <w:rsid w:val="005113C4"/>
    <w:rsid w:val="005117B9"/>
    <w:rsid w:val="00511835"/>
    <w:rsid w:val="00512346"/>
    <w:rsid w:val="0051257D"/>
    <w:rsid w:val="00513FC5"/>
    <w:rsid w:val="0051489F"/>
    <w:rsid w:val="005156B5"/>
    <w:rsid w:val="005159BB"/>
    <w:rsid w:val="005200CA"/>
    <w:rsid w:val="00520BEF"/>
    <w:rsid w:val="00520D3A"/>
    <w:rsid w:val="00521340"/>
    <w:rsid w:val="00521E5D"/>
    <w:rsid w:val="0052256E"/>
    <w:rsid w:val="00523E64"/>
    <w:rsid w:val="00523EC1"/>
    <w:rsid w:val="00524175"/>
    <w:rsid w:val="0052431D"/>
    <w:rsid w:val="005245D1"/>
    <w:rsid w:val="00524C25"/>
    <w:rsid w:val="005252CB"/>
    <w:rsid w:val="0052640D"/>
    <w:rsid w:val="005279B2"/>
    <w:rsid w:val="00527DBA"/>
    <w:rsid w:val="00530034"/>
    <w:rsid w:val="00530123"/>
    <w:rsid w:val="005318D8"/>
    <w:rsid w:val="00532A2F"/>
    <w:rsid w:val="00532F3E"/>
    <w:rsid w:val="0053415B"/>
    <w:rsid w:val="00534516"/>
    <w:rsid w:val="005364AD"/>
    <w:rsid w:val="00537220"/>
    <w:rsid w:val="0053755B"/>
    <w:rsid w:val="0054034B"/>
    <w:rsid w:val="00540DDE"/>
    <w:rsid w:val="0054230C"/>
    <w:rsid w:val="005431D8"/>
    <w:rsid w:val="0054380B"/>
    <w:rsid w:val="00544E26"/>
    <w:rsid w:val="005475EF"/>
    <w:rsid w:val="005479FB"/>
    <w:rsid w:val="00552375"/>
    <w:rsid w:val="00553742"/>
    <w:rsid w:val="0055556D"/>
    <w:rsid w:val="0055727F"/>
    <w:rsid w:val="00557C0A"/>
    <w:rsid w:val="005601AE"/>
    <w:rsid w:val="00560943"/>
    <w:rsid w:val="00560F21"/>
    <w:rsid w:val="00561960"/>
    <w:rsid w:val="005619A7"/>
    <w:rsid w:val="00562EC1"/>
    <w:rsid w:val="00563731"/>
    <w:rsid w:val="005639B0"/>
    <w:rsid w:val="00563B73"/>
    <w:rsid w:val="00563BBF"/>
    <w:rsid w:val="00565090"/>
    <w:rsid w:val="00565DF0"/>
    <w:rsid w:val="00566A67"/>
    <w:rsid w:val="00566C50"/>
    <w:rsid w:val="00567817"/>
    <w:rsid w:val="00570CC9"/>
    <w:rsid w:val="005716B7"/>
    <w:rsid w:val="00572236"/>
    <w:rsid w:val="0057459E"/>
    <w:rsid w:val="00575446"/>
    <w:rsid w:val="0057722F"/>
    <w:rsid w:val="005778E8"/>
    <w:rsid w:val="00580271"/>
    <w:rsid w:val="0058074C"/>
    <w:rsid w:val="00580C63"/>
    <w:rsid w:val="00581548"/>
    <w:rsid w:val="00586A6F"/>
    <w:rsid w:val="0058710A"/>
    <w:rsid w:val="00590622"/>
    <w:rsid w:val="00591268"/>
    <w:rsid w:val="00591E95"/>
    <w:rsid w:val="00592083"/>
    <w:rsid w:val="0059215A"/>
    <w:rsid w:val="005929FD"/>
    <w:rsid w:val="00592F42"/>
    <w:rsid w:val="00593B2F"/>
    <w:rsid w:val="0059500B"/>
    <w:rsid w:val="0059530F"/>
    <w:rsid w:val="00595F95"/>
    <w:rsid w:val="005971E0"/>
    <w:rsid w:val="0059747C"/>
    <w:rsid w:val="005A05F6"/>
    <w:rsid w:val="005A07F0"/>
    <w:rsid w:val="005A1AB9"/>
    <w:rsid w:val="005A1B06"/>
    <w:rsid w:val="005A2181"/>
    <w:rsid w:val="005A2236"/>
    <w:rsid w:val="005A36EF"/>
    <w:rsid w:val="005A4AFA"/>
    <w:rsid w:val="005A61EC"/>
    <w:rsid w:val="005A6330"/>
    <w:rsid w:val="005A64B0"/>
    <w:rsid w:val="005A66A8"/>
    <w:rsid w:val="005A6C0E"/>
    <w:rsid w:val="005A7237"/>
    <w:rsid w:val="005A7DFC"/>
    <w:rsid w:val="005B1D65"/>
    <w:rsid w:val="005B2BA9"/>
    <w:rsid w:val="005B6B03"/>
    <w:rsid w:val="005B769A"/>
    <w:rsid w:val="005B7C14"/>
    <w:rsid w:val="005C0776"/>
    <w:rsid w:val="005C0D88"/>
    <w:rsid w:val="005C12A8"/>
    <w:rsid w:val="005C1633"/>
    <w:rsid w:val="005C1A12"/>
    <w:rsid w:val="005C3C79"/>
    <w:rsid w:val="005C616D"/>
    <w:rsid w:val="005C7004"/>
    <w:rsid w:val="005C7FE4"/>
    <w:rsid w:val="005D0DE8"/>
    <w:rsid w:val="005D0ED9"/>
    <w:rsid w:val="005D1DD6"/>
    <w:rsid w:val="005D2E2C"/>
    <w:rsid w:val="005D3179"/>
    <w:rsid w:val="005D4BB3"/>
    <w:rsid w:val="005D4F66"/>
    <w:rsid w:val="005D5D44"/>
    <w:rsid w:val="005D5E43"/>
    <w:rsid w:val="005D6144"/>
    <w:rsid w:val="005D6B08"/>
    <w:rsid w:val="005D72DA"/>
    <w:rsid w:val="005E055A"/>
    <w:rsid w:val="005E1298"/>
    <w:rsid w:val="005E224B"/>
    <w:rsid w:val="005E29A9"/>
    <w:rsid w:val="005E2C3D"/>
    <w:rsid w:val="005E46F2"/>
    <w:rsid w:val="005E4BD3"/>
    <w:rsid w:val="005E56B8"/>
    <w:rsid w:val="005E5772"/>
    <w:rsid w:val="005E5ABB"/>
    <w:rsid w:val="005E6777"/>
    <w:rsid w:val="005E7154"/>
    <w:rsid w:val="005F0466"/>
    <w:rsid w:val="005F0BD6"/>
    <w:rsid w:val="005F0F70"/>
    <w:rsid w:val="005F0FC7"/>
    <w:rsid w:val="005F2086"/>
    <w:rsid w:val="005F2A8D"/>
    <w:rsid w:val="005F314D"/>
    <w:rsid w:val="005F528B"/>
    <w:rsid w:val="005F6B31"/>
    <w:rsid w:val="005F6BF9"/>
    <w:rsid w:val="005F6C20"/>
    <w:rsid w:val="005F7845"/>
    <w:rsid w:val="0060032E"/>
    <w:rsid w:val="006003BC"/>
    <w:rsid w:val="00600CE8"/>
    <w:rsid w:val="00601638"/>
    <w:rsid w:val="00601646"/>
    <w:rsid w:val="00602238"/>
    <w:rsid w:val="006026B3"/>
    <w:rsid w:val="00603D47"/>
    <w:rsid w:val="00604237"/>
    <w:rsid w:val="0060497B"/>
    <w:rsid w:val="00604ECF"/>
    <w:rsid w:val="00604ED9"/>
    <w:rsid w:val="0060515A"/>
    <w:rsid w:val="00611043"/>
    <w:rsid w:val="006112E6"/>
    <w:rsid w:val="0061222D"/>
    <w:rsid w:val="00612563"/>
    <w:rsid w:val="006132B7"/>
    <w:rsid w:val="0061489A"/>
    <w:rsid w:val="00614A97"/>
    <w:rsid w:val="0061563A"/>
    <w:rsid w:val="00615F27"/>
    <w:rsid w:val="0061620F"/>
    <w:rsid w:val="00620DCA"/>
    <w:rsid w:val="00623BE0"/>
    <w:rsid w:val="00624707"/>
    <w:rsid w:val="00624EA9"/>
    <w:rsid w:val="00626E3F"/>
    <w:rsid w:val="00627648"/>
    <w:rsid w:val="00627CD9"/>
    <w:rsid w:val="0063038F"/>
    <w:rsid w:val="006309FA"/>
    <w:rsid w:val="00631935"/>
    <w:rsid w:val="00631A1B"/>
    <w:rsid w:val="00632CA4"/>
    <w:rsid w:val="0063346C"/>
    <w:rsid w:val="006341D7"/>
    <w:rsid w:val="00635B6E"/>
    <w:rsid w:val="00636EDE"/>
    <w:rsid w:val="006370AB"/>
    <w:rsid w:val="006374E7"/>
    <w:rsid w:val="006414A2"/>
    <w:rsid w:val="00641AE5"/>
    <w:rsid w:val="00641E57"/>
    <w:rsid w:val="006438CD"/>
    <w:rsid w:val="00644782"/>
    <w:rsid w:val="006449E7"/>
    <w:rsid w:val="00645B8D"/>
    <w:rsid w:val="0064659C"/>
    <w:rsid w:val="00650326"/>
    <w:rsid w:val="00650597"/>
    <w:rsid w:val="0065088F"/>
    <w:rsid w:val="00650925"/>
    <w:rsid w:val="006515C7"/>
    <w:rsid w:val="00651E8D"/>
    <w:rsid w:val="00653D20"/>
    <w:rsid w:val="006540AD"/>
    <w:rsid w:val="00655E42"/>
    <w:rsid w:val="0065608A"/>
    <w:rsid w:val="006563BD"/>
    <w:rsid w:val="00656615"/>
    <w:rsid w:val="00656A15"/>
    <w:rsid w:val="00656E25"/>
    <w:rsid w:val="006574E7"/>
    <w:rsid w:val="00657825"/>
    <w:rsid w:val="00657AAE"/>
    <w:rsid w:val="00660044"/>
    <w:rsid w:val="00663F5A"/>
    <w:rsid w:val="00664079"/>
    <w:rsid w:val="006655F8"/>
    <w:rsid w:val="00665B65"/>
    <w:rsid w:val="0066661A"/>
    <w:rsid w:val="00666C26"/>
    <w:rsid w:val="00667062"/>
    <w:rsid w:val="0067051C"/>
    <w:rsid w:val="006715F0"/>
    <w:rsid w:val="00671C3E"/>
    <w:rsid w:val="00672E09"/>
    <w:rsid w:val="00673474"/>
    <w:rsid w:val="00676FF1"/>
    <w:rsid w:val="006772A3"/>
    <w:rsid w:val="00677C7F"/>
    <w:rsid w:val="006804D4"/>
    <w:rsid w:val="0068087D"/>
    <w:rsid w:val="00680908"/>
    <w:rsid w:val="00681064"/>
    <w:rsid w:val="00681F14"/>
    <w:rsid w:val="0068210D"/>
    <w:rsid w:val="0068214E"/>
    <w:rsid w:val="006826ED"/>
    <w:rsid w:val="00682CA6"/>
    <w:rsid w:val="006841FF"/>
    <w:rsid w:val="00686A14"/>
    <w:rsid w:val="006870F7"/>
    <w:rsid w:val="00690C12"/>
    <w:rsid w:val="00690F3E"/>
    <w:rsid w:val="00691F91"/>
    <w:rsid w:val="0069204A"/>
    <w:rsid w:val="00693FA4"/>
    <w:rsid w:val="006948F7"/>
    <w:rsid w:val="00695060"/>
    <w:rsid w:val="00696C72"/>
    <w:rsid w:val="00696EDA"/>
    <w:rsid w:val="00696F05"/>
    <w:rsid w:val="00697D8D"/>
    <w:rsid w:val="006A1452"/>
    <w:rsid w:val="006A2053"/>
    <w:rsid w:val="006A2330"/>
    <w:rsid w:val="006A314E"/>
    <w:rsid w:val="006A3A6C"/>
    <w:rsid w:val="006A4A9F"/>
    <w:rsid w:val="006A69DD"/>
    <w:rsid w:val="006A6ED9"/>
    <w:rsid w:val="006B00FA"/>
    <w:rsid w:val="006B0A85"/>
    <w:rsid w:val="006B10A0"/>
    <w:rsid w:val="006B15F5"/>
    <w:rsid w:val="006B37DF"/>
    <w:rsid w:val="006B4004"/>
    <w:rsid w:val="006B4434"/>
    <w:rsid w:val="006B4C67"/>
    <w:rsid w:val="006B6089"/>
    <w:rsid w:val="006B70D1"/>
    <w:rsid w:val="006B7D96"/>
    <w:rsid w:val="006C1192"/>
    <w:rsid w:val="006C1642"/>
    <w:rsid w:val="006C3D05"/>
    <w:rsid w:val="006C4A75"/>
    <w:rsid w:val="006C5278"/>
    <w:rsid w:val="006C5393"/>
    <w:rsid w:val="006C58FD"/>
    <w:rsid w:val="006C64A4"/>
    <w:rsid w:val="006D009E"/>
    <w:rsid w:val="006D00EF"/>
    <w:rsid w:val="006D10F6"/>
    <w:rsid w:val="006D16A6"/>
    <w:rsid w:val="006D25A0"/>
    <w:rsid w:val="006D2A33"/>
    <w:rsid w:val="006D329A"/>
    <w:rsid w:val="006D32EF"/>
    <w:rsid w:val="006D5640"/>
    <w:rsid w:val="006D5B70"/>
    <w:rsid w:val="006D6E15"/>
    <w:rsid w:val="006D707D"/>
    <w:rsid w:val="006E1444"/>
    <w:rsid w:val="006E15BC"/>
    <w:rsid w:val="006E2837"/>
    <w:rsid w:val="006E3D4B"/>
    <w:rsid w:val="006E46CD"/>
    <w:rsid w:val="006E48CF"/>
    <w:rsid w:val="006E793A"/>
    <w:rsid w:val="006E7967"/>
    <w:rsid w:val="006E7B4C"/>
    <w:rsid w:val="006F05B1"/>
    <w:rsid w:val="006F11BF"/>
    <w:rsid w:val="006F1D9F"/>
    <w:rsid w:val="006F2596"/>
    <w:rsid w:val="006F3037"/>
    <w:rsid w:val="006F31FF"/>
    <w:rsid w:val="006F5293"/>
    <w:rsid w:val="006F5DB8"/>
    <w:rsid w:val="006F69D4"/>
    <w:rsid w:val="006F6BA2"/>
    <w:rsid w:val="006F6E05"/>
    <w:rsid w:val="006F792F"/>
    <w:rsid w:val="006F7AAD"/>
    <w:rsid w:val="00700945"/>
    <w:rsid w:val="007010FC"/>
    <w:rsid w:val="00701DDE"/>
    <w:rsid w:val="00702219"/>
    <w:rsid w:val="00702DB3"/>
    <w:rsid w:val="007032D0"/>
    <w:rsid w:val="007032E9"/>
    <w:rsid w:val="00703B95"/>
    <w:rsid w:val="007047AC"/>
    <w:rsid w:val="007050F0"/>
    <w:rsid w:val="00707268"/>
    <w:rsid w:val="00707595"/>
    <w:rsid w:val="00707ADE"/>
    <w:rsid w:val="00707BB9"/>
    <w:rsid w:val="007106DE"/>
    <w:rsid w:val="00710BD5"/>
    <w:rsid w:val="007123A1"/>
    <w:rsid w:val="0071257C"/>
    <w:rsid w:val="007132E7"/>
    <w:rsid w:val="00713959"/>
    <w:rsid w:val="00714A82"/>
    <w:rsid w:val="00716506"/>
    <w:rsid w:val="007166F1"/>
    <w:rsid w:val="00716EC4"/>
    <w:rsid w:val="00717311"/>
    <w:rsid w:val="00720599"/>
    <w:rsid w:val="00720858"/>
    <w:rsid w:val="00720BD3"/>
    <w:rsid w:val="007214E9"/>
    <w:rsid w:val="00723149"/>
    <w:rsid w:val="0072314B"/>
    <w:rsid w:val="00725D14"/>
    <w:rsid w:val="00725D29"/>
    <w:rsid w:val="00726ACE"/>
    <w:rsid w:val="00726DEF"/>
    <w:rsid w:val="00730D22"/>
    <w:rsid w:val="0073249E"/>
    <w:rsid w:val="00732A69"/>
    <w:rsid w:val="007345AC"/>
    <w:rsid w:val="00735566"/>
    <w:rsid w:val="0073577B"/>
    <w:rsid w:val="007405AE"/>
    <w:rsid w:val="00740648"/>
    <w:rsid w:val="00741CFB"/>
    <w:rsid w:val="0074299B"/>
    <w:rsid w:val="00743BF8"/>
    <w:rsid w:val="00743D16"/>
    <w:rsid w:val="00743FAE"/>
    <w:rsid w:val="007452FC"/>
    <w:rsid w:val="00747090"/>
    <w:rsid w:val="00747FE4"/>
    <w:rsid w:val="00750FCA"/>
    <w:rsid w:val="00751CE0"/>
    <w:rsid w:val="007525A5"/>
    <w:rsid w:val="0075389B"/>
    <w:rsid w:val="00757315"/>
    <w:rsid w:val="00757730"/>
    <w:rsid w:val="007579A4"/>
    <w:rsid w:val="00757B91"/>
    <w:rsid w:val="00760834"/>
    <w:rsid w:val="00760A56"/>
    <w:rsid w:val="0076141F"/>
    <w:rsid w:val="00763225"/>
    <w:rsid w:val="007636A5"/>
    <w:rsid w:val="00763C8F"/>
    <w:rsid w:val="00764A45"/>
    <w:rsid w:val="00767F06"/>
    <w:rsid w:val="007705EC"/>
    <w:rsid w:val="00770603"/>
    <w:rsid w:val="00770F64"/>
    <w:rsid w:val="007718F0"/>
    <w:rsid w:val="00776CC7"/>
    <w:rsid w:val="00777A5C"/>
    <w:rsid w:val="007819F0"/>
    <w:rsid w:val="00782127"/>
    <w:rsid w:val="00785A0E"/>
    <w:rsid w:val="00786BE2"/>
    <w:rsid w:val="007905E0"/>
    <w:rsid w:val="00790876"/>
    <w:rsid w:val="00790D0C"/>
    <w:rsid w:val="007916EF"/>
    <w:rsid w:val="007924D0"/>
    <w:rsid w:val="00792C73"/>
    <w:rsid w:val="00793C8C"/>
    <w:rsid w:val="00794294"/>
    <w:rsid w:val="00794C2F"/>
    <w:rsid w:val="007957BC"/>
    <w:rsid w:val="00796BBE"/>
    <w:rsid w:val="007A00D6"/>
    <w:rsid w:val="007A023C"/>
    <w:rsid w:val="007A0F70"/>
    <w:rsid w:val="007A54AA"/>
    <w:rsid w:val="007A5C44"/>
    <w:rsid w:val="007A6293"/>
    <w:rsid w:val="007A62B0"/>
    <w:rsid w:val="007A78EA"/>
    <w:rsid w:val="007B149F"/>
    <w:rsid w:val="007B169F"/>
    <w:rsid w:val="007B26D9"/>
    <w:rsid w:val="007B3ED5"/>
    <w:rsid w:val="007B440F"/>
    <w:rsid w:val="007B528E"/>
    <w:rsid w:val="007B57D8"/>
    <w:rsid w:val="007B68FD"/>
    <w:rsid w:val="007B6CCC"/>
    <w:rsid w:val="007B6E4E"/>
    <w:rsid w:val="007B7EC8"/>
    <w:rsid w:val="007C0133"/>
    <w:rsid w:val="007C0663"/>
    <w:rsid w:val="007C06F8"/>
    <w:rsid w:val="007C0BE0"/>
    <w:rsid w:val="007C0E34"/>
    <w:rsid w:val="007C0FD1"/>
    <w:rsid w:val="007C1703"/>
    <w:rsid w:val="007C1AA6"/>
    <w:rsid w:val="007C2324"/>
    <w:rsid w:val="007C3FF0"/>
    <w:rsid w:val="007C4248"/>
    <w:rsid w:val="007C48B8"/>
    <w:rsid w:val="007C4B06"/>
    <w:rsid w:val="007C4D20"/>
    <w:rsid w:val="007C59C0"/>
    <w:rsid w:val="007C5AB7"/>
    <w:rsid w:val="007C631F"/>
    <w:rsid w:val="007C72AB"/>
    <w:rsid w:val="007C785E"/>
    <w:rsid w:val="007C7E4F"/>
    <w:rsid w:val="007D044D"/>
    <w:rsid w:val="007D07B7"/>
    <w:rsid w:val="007D0F09"/>
    <w:rsid w:val="007D15D9"/>
    <w:rsid w:val="007D2C8E"/>
    <w:rsid w:val="007D33B5"/>
    <w:rsid w:val="007D37D6"/>
    <w:rsid w:val="007D3B83"/>
    <w:rsid w:val="007D403A"/>
    <w:rsid w:val="007D40F7"/>
    <w:rsid w:val="007D427F"/>
    <w:rsid w:val="007D4564"/>
    <w:rsid w:val="007D4B01"/>
    <w:rsid w:val="007D4B14"/>
    <w:rsid w:val="007D66BD"/>
    <w:rsid w:val="007D682A"/>
    <w:rsid w:val="007D6998"/>
    <w:rsid w:val="007D72AD"/>
    <w:rsid w:val="007E020B"/>
    <w:rsid w:val="007E0E97"/>
    <w:rsid w:val="007E1C8C"/>
    <w:rsid w:val="007E1E5A"/>
    <w:rsid w:val="007E209A"/>
    <w:rsid w:val="007E2D75"/>
    <w:rsid w:val="007E2DBC"/>
    <w:rsid w:val="007E5B1E"/>
    <w:rsid w:val="007E62B0"/>
    <w:rsid w:val="007E6661"/>
    <w:rsid w:val="007F18EC"/>
    <w:rsid w:val="007F2235"/>
    <w:rsid w:val="007F23C8"/>
    <w:rsid w:val="007F2789"/>
    <w:rsid w:val="007F3382"/>
    <w:rsid w:val="007F3D4A"/>
    <w:rsid w:val="007F565B"/>
    <w:rsid w:val="007F607D"/>
    <w:rsid w:val="007F632A"/>
    <w:rsid w:val="007F7E0E"/>
    <w:rsid w:val="00800037"/>
    <w:rsid w:val="008007F7"/>
    <w:rsid w:val="00800939"/>
    <w:rsid w:val="00800A3D"/>
    <w:rsid w:val="008012F6"/>
    <w:rsid w:val="008015D5"/>
    <w:rsid w:val="00802472"/>
    <w:rsid w:val="0080406D"/>
    <w:rsid w:val="00804893"/>
    <w:rsid w:val="00804C9F"/>
    <w:rsid w:val="008076EA"/>
    <w:rsid w:val="00807700"/>
    <w:rsid w:val="00810CC8"/>
    <w:rsid w:val="00812A4E"/>
    <w:rsid w:val="00814AAF"/>
    <w:rsid w:val="0081576B"/>
    <w:rsid w:val="008171D7"/>
    <w:rsid w:val="00817321"/>
    <w:rsid w:val="0081752C"/>
    <w:rsid w:val="0081759A"/>
    <w:rsid w:val="00817714"/>
    <w:rsid w:val="00821D9B"/>
    <w:rsid w:val="00822039"/>
    <w:rsid w:val="00822B5D"/>
    <w:rsid w:val="008235FB"/>
    <w:rsid w:val="00823644"/>
    <w:rsid w:val="008239E2"/>
    <w:rsid w:val="008248A6"/>
    <w:rsid w:val="00824A0C"/>
    <w:rsid w:val="008272C0"/>
    <w:rsid w:val="00830FCB"/>
    <w:rsid w:val="00831500"/>
    <w:rsid w:val="00833409"/>
    <w:rsid w:val="00834140"/>
    <w:rsid w:val="00834182"/>
    <w:rsid w:val="00835746"/>
    <w:rsid w:val="00836339"/>
    <w:rsid w:val="00836CA2"/>
    <w:rsid w:val="00836F20"/>
    <w:rsid w:val="00837604"/>
    <w:rsid w:val="00840A43"/>
    <w:rsid w:val="00840EBF"/>
    <w:rsid w:val="008412DF"/>
    <w:rsid w:val="00841625"/>
    <w:rsid w:val="0084290E"/>
    <w:rsid w:val="00842AF6"/>
    <w:rsid w:val="00843E7E"/>
    <w:rsid w:val="00844305"/>
    <w:rsid w:val="00845BD3"/>
    <w:rsid w:val="00846E7F"/>
    <w:rsid w:val="0085084A"/>
    <w:rsid w:val="00850C0E"/>
    <w:rsid w:val="00851278"/>
    <w:rsid w:val="008518F7"/>
    <w:rsid w:val="00852754"/>
    <w:rsid w:val="008528E9"/>
    <w:rsid w:val="0085389F"/>
    <w:rsid w:val="00854018"/>
    <w:rsid w:val="0085594B"/>
    <w:rsid w:val="00860D57"/>
    <w:rsid w:val="0086134E"/>
    <w:rsid w:val="00861E2D"/>
    <w:rsid w:val="00863655"/>
    <w:rsid w:val="00864FF9"/>
    <w:rsid w:val="008667CD"/>
    <w:rsid w:val="00866DBF"/>
    <w:rsid w:val="0087070C"/>
    <w:rsid w:val="00871D1B"/>
    <w:rsid w:val="0087208B"/>
    <w:rsid w:val="008723C3"/>
    <w:rsid w:val="008727B0"/>
    <w:rsid w:val="00872880"/>
    <w:rsid w:val="00873D10"/>
    <w:rsid w:val="00874D62"/>
    <w:rsid w:val="00874D97"/>
    <w:rsid w:val="00874FF6"/>
    <w:rsid w:val="00875124"/>
    <w:rsid w:val="008761E2"/>
    <w:rsid w:val="008769F9"/>
    <w:rsid w:val="00876E81"/>
    <w:rsid w:val="008774ED"/>
    <w:rsid w:val="00877A99"/>
    <w:rsid w:val="0088033C"/>
    <w:rsid w:val="008815FF"/>
    <w:rsid w:val="00882044"/>
    <w:rsid w:val="00883062"/>
    <w:rsid w:val="00883B84"/>
    <w:rsid w:val="00884071"/>
    <w:rsid w:val="00884295"/>
    <w:rsid w:val="00886412"/>
    <w:rsid w:val="008867FA"/>
    <w:rsid w:val="008871A1"/>
    <w:rsid w:val="00887BFB"/>
    <w:rsid w:val="00887D70"/>
    <w:rsid w:val="00890699"/>
    <w:rsid w:val="00890B5F"/>
    <w:rsid w:val="00891622"/>
    <w:rsid w:val="008922AE"/>
    <w:rsid w:val="008934FF"/>
    <w:rsid w:val="008946B2"/>
    <w:rsid w:val="00895A8D"/>
    <w:rsid w:val="00897460"/>
    <w:rsid w:val="00897860"/>
    <w:rsid w:val="00897B9C"/>
    <w:rsid w:val="00897B9E"/>
    <w:rsid w:val="008A0266"/>
    <w:rsid w:val="008A1321"/>
    <w:rsid w:val="008A16A6"/>
    <w:rsid w:val="008A3BB4"/>
    <w:rsid w:val="008A45E9"/>
    <w:rsid w:val="008A4BD2"/>
    <w:rsid w:val="008A4D59"/>
    <w:rsid w:val="008A5D48"/>
    <w:rsid w:val="008A5EB8"/>
    <w:rsid w:val="008A62A9"/>
    <w:rsid w:val="008A6312"/>
    <w:rsid w:val="008A6336"/>
    <w:rsid w:val="008A6485"/>
    <w:rsid w:val="008B042A"/>
    <w:rsid w:val="008B070A"/>
    <w:rsid w:val="008B092D"/>
    <w:rsid w:val="008B0BBC"/>
    <w:rsid w:val="008B25BB"/>
    <w:rsid w:val="008B2EA7"/>
    <w:rsid w:val="008B3CD4"/>
    <w:rsid w:val="008B51D8"/>
    <w:rsid w:val="008B54E9"/>
    <w:rsid w:val="008B6045"/>
    <w:rsid w:val="008B6817"/>
    <w:rsid w:val="008B6BF0"/>
    <w:rsid w:val="008C062A"/>
    <w:rsid w:val="008C1440"/>
    <w:rsid w:val="008C1542"/>
    <w:rsid w:val="008C26F9"/>
    <w:rsid w:val="008C28F1"/>
    <w:rsid w:val="008C2A7B"/>
    <w:rsid w:val="008C2B5B"/>
    <w:rsid w:val="008C37B6"/>
    <w:rsid w:val="008C7A71"/>
    <w:rsid w:val="008C7B5A"/>
    <w:rsid w:val="008D20CB"/>
    <w:rsid w:val="008D22C0"/>
    <w:rsid w:val="008D31C1"/>
    <w:rsid w:val="008D4B66"/>
    <w:rsid w:val="008D4DA4"/>
    <w:rsid w:val="008D580B"/>
    <w:rsid w:val="008D5889"/>
    <w:rsid w:val="008D615B"/>
    <w:rsid w:val="008D6599"/>
    <w:rsid w:val="008D6CAC"/>
    <w:rsid w:val="008D7FF5"/>
    <w:rsid w:val="008E07E3"/>
    <w:rsid w:val="008E41FE"/>
    <w:rsid w:val="008E47B0"/>
    <w:rsid w:val="008E49CD"/>
    <w:rsid w:val="008E58D6"/>
    <w:rsid w:val="008E64C9"/>
    <w:rsid w:val="008F078E"/>
    <w:rsid w:val="008F0E6A"/>
    <w:rsid w:val="008F334E"/>
    <w:rsid w:val="008F35D5"/>
    <w:rsid w:val="008F3AF9"/>
    <w:rsid w:val="008F5A29"/>
    <w:rsid w:val="008F71DE"/>
    <w:rsid w:val="008F733B"/>
    <w:rsid w:val="008F738C"/>
    <w:rsid w:val="008F7A99"/>
    <w:rsid w:val="0090105F"/>
    <w:rsid w:val="009022FF"/>
    <w:rsid w:val="00902B5A"/>
    <w:rsid w:val="00903764"/>
    <w:rsid w:val="0090589A"/>
    <w:rsid w:val="0090690A"/>
    <w:rsid w:val="00906997"/>
    <w:rsid w:val="00907D4E"/>
    <w:rsid w:val="009117E1"/>
    <w:rsid w:val="00911C55"/>
    <w:rsid w:val="00912057"/>
    <w:rsid w:val="00914DC6"/>
    <w:rsid w:val="00914FAC"/>
    <w:rsid w:val="00915102"/>
    <w:rsid w:val="00917BC2"/>
    <w:rsid w:val="00917F9B"/>
    <w:rsid w:val="00921FAA"/>
    <w:rsid w:val="009231C4"/>
    <w:rsid w:val="0092374B"/>
    <w:rsid w:val="00923C6E"/>
    <w:rsid w:val="009253A0"/>
    <w:rsid w:val="00925ABB"/>
    <w:rsid w:val="00925DE7"/>
    <w:rsid w:val="00927C65"/>
    <w:rsid w:val="009303FA"/>
    <w:rsid w:val="009317AB"/>
    <w:rsid w:val="00932117"/>
    <w:rsid w:val="009329FF"/>
    <w:rsid w:val="00933063"/>
    <w:rsid w:val="00933372"/>
    <w:rsid w:val="00934087"/>
    <w:rsid w:val="009340AC"/>
    <w:rsid w:val="00934FE3"/>
    <w:rsid w:val="00935021"/>
    <w:rsid w:val="00935494"/>
    <w:rsid w:val="009411BA"/>
    <w:rsid w:val="00941A1D"/>
    <w:rsid w:val="0094204C"/>
    <w:rsid w:val="00942150"/>
    <w:rsid w:val="009428B6"/>
    <w:rsid w:val="00945CCE"/>
    <w:rsid w:val="00945FCE"/>
    <w:rsid w:val="00946683"/>
    <w:rsid w:val="00950A74"/>
    <w:rsid w:val="00950EE1"/>
    <w:rsid w:val="009519B0"/>
    <w:rsid w:val="009527D5"/>
    <w:rsid w:val="00952AB1"/>
    <w:rsid w:val="00953738"/>
    <w:rsid w:val="0095427F"/>
    <w:rsid w:val="009546B1"/>
    <w:rsid w:val="0095518C"/>
    <w:rsid w:val="00955657"/>
    <w:rsid w:val="0095594D"/>
    <w:rsid w:val="0095596B"/>
    <w:rsid w:val="00955FF0"/>
    <w:rsid w:val="0095605B"/>
    <w:rsid w:val="009565A5"/>
    <w:rsid w:val="00956C37"/>
    <w:rsid w:val="00956EC3"/>
    <w:rsid w:val="009575A2"/>
    <w:rsid w:val="00957F2D"/>
    <w:rsid w:val="00961EFE"/>
    <w:rsid w:val="009625B6"/>
    <w:rsid w:val="00962DF4"/>
    <w:rsid w:val="00962FC5"/>
    <w:rsid w:val="00963E10"/>
    <w:rsid w:val="00966CEE"/>
    <w:rsid w:val="00967333"/>
    <w:rsid w:val="00970486"/>
    <w:rsid w:val="00970BE3"/>
    <w:rsid w:val="00971B55"/>
    <w:rsid w:val="00974D17"/>
    <w:rsid w:val="00975112"/>
    <w:rsid w:val="009765F4"/>
    <w:rsid w:val="00976698"/>
    <w:rsid w:val="00976960"/>
    <w:rsid w:val="00977B1D"/>
    <w:rsid w:val="009821A4"/>
    <w:rsid w:val="009826CD"/>
    <w:rsid w:val="00983F2B"/>
    <w:rsid w:val="00983FDC"/>
    <w:rsid w:val="00985705"/>
    <w:rsid w:val="00985870"/>
    <w:rsid w:val="00985E6B"/>
    <w:rsid w:val="0099083E"/>
    <w:rsid w:val="009915FA"/>
    <w:rsid w:val="00992115"/>
    <w:rsid w:val="00992979"/>
    <w:rsid w:val="00993687"/>
    <w:rsid w:val="009956EA"/>
    <w:rsid w:val="009963BD"/>
    <w:rsid w:val="00996729"/>
    <w:rsid w:val="009A0782"/>
    <w:rsid w:val="009A16A9"/>
    <w:rsid w:val="009A1B52"/>
    <w:rsid w:val="009A3560"/>
    <w:rsid w:val="009A5074"/>
    <w:rsid w:val="009A5926"/>
    <w:rsid w:val="009A5C1D"/>
    <w:rsid w:val="009A6A0D"/>
    <w:rsid w:val="009A76A9"/>
    <w:rsid w:val="009B0367"/>
    <w:rsid w:val="009B051B"/>
    <w:rsid w:val="009B0EC6"/>
    <w:rsid w:val="009B1EFB"/>
    <w:rsid w:val="009B1FC5"/>
    <w:rsid w:val="009B2706"/>
    <w:rsid w:val="009B2CD2"/>
    <w:rsid w:val="009B334B"/>
    <w:rsid w:val="009B4BEA"/>
    <w:rsid w:val="009B6052"/>
    <w:rsid w:val="009B6A62"/>
    <w:rsid w:val="009B6DCC"/>
    <w:rsid w:val="009B7211"/>
    <w:rsid w:val="009B78D1"/>
    <w:rsid w:val="009B7E52"/>
    <w:rsid w:val="009B7FFB"/>
    <w:rsid w:val="009C029E"/>
    <w:rsid w:val="009C1356"/>
    <w:rsid w:val="009C1679"/>
    <w:rsid w:val="009C21FD"/>
    <w:rsid w:val="009C2AA1"/>
    <w:rsid w:val="009C4748"/>
    <w:rsid w:val="009C53A4"/>
    <w:rsid w:val="009C696F"/>
    <w:rsid w:val="009C6A5B"/>
    <w:rsid w:val="009D23E3"/>
    <w:rsid w:val="009D2D56"/>
    <w:rsid w:val="009D34A6"/>
    <w:rsid w:val="009D3BE8"/>
    <w:rsid w:val="009D561D"/>
    <w:rsid w:val="009D652A"/>
    <w:rsid w:val="009D6A66"/>
    <w:rsid w:val="009D6B60"/>
    <w:rsid w:val="009D70C3"/>
    <w:rsid w:val="009E08A2"/>
    <w:rsid w:val="009E0AB3"/>
    <w:rsid w:val="009E108B"/>
    <w:rsid w:val="009E15E9"/>
    <w:rsid w:val="009E1803"/>
    <w:rsid w:val="009E2177"/>
    <w:rsid w:val="009E2A6F"/>
    <w:rsid w:val="009E2D03"/>
    <w:rsid w:val="009E4410"/>
    <w:rsid w:val="009E4A17"/>
    <w:rsid w:val="009E4ACA"/>
    <w:rsid w:val="009E4EB4"/>
    <w:rsid w:val="009E500C"/>
    <w:rsid w:val="009E73C9"/>
    <w:rsid w:val="009F13D3"/>
    <w:rsid w:val="009F2204"/>
    <w:rsid w:val="009F2783"/>
    <w:rsid w:val="009F2AE3"/>
    <w:rsid w:val="009F3AF5"/>
    <w:rsid w:val="009F47D1"/>
    <w:rsid w:val="009F49A5"/>
    <w:rsid w:val="009F5904"/>
    <w:rsid w:val="009F5A66"/>
    <w:rsid w:val="009F5C03"/>
    <w:rsid w:val="009F64E8"/>
    <w:rsid w:val="009F7C0D"/>
    <w:rsid w:val="00A00CB9"/>
    <w:rsid w:val="00A014C1"/>
    <w:rsid w:val="00A018D7"/>
    <w:rsid w:val="00A0251F"/>
    <w:rsid w:val="00A06912"/>
    <w:rsid w:val="00A06CA0"/>
    <w:rsid w:val="00A075A8"/>
    <w:rsid w:val="00A07E13"/>
    <w:rsid w:val="00A100BD"/>
    <w:rsid w:val="00A1047F"/>
    <w:rsid w:val="00A10BE1"/>
    <w:rsid w:val="00A11CB3"/>
    <w:rsid w:val="00A12BC0"/>
    <w:rsid w:val="00A137C9"/>
    <w:rsid w:val="00A144EA"/>
    <w:rsid w:val="00A14852"/>
    <w:rsid w:val="00A1557B"/>
    <w:rsid w:val="00A16363"/>
    <w:rsid w:val="00A16762"/>
    <w:rsid w:val="00A17DED"/>
    <w:rsid w:val="00A20E02"/>
    <w:rsid w:val="00A20E51"/>
    <w:rsid w:val="00A22C90"/>
    <w:rsid w:val="00A232C8"/>
    <w:rsid w:val="00A237B8"/>
    <w:rsid w:val="00A2488C"/>
    <w:rsid w:val="00A24CFD"/>
    <w:rsid w:val="00A25769"/>
    <w:rsid w:val="00A261A5"/>
    <w:rsid w:val="00A2691D"/>
    <w:rsid w:val="00A26BED"/>
    <w:rsid w:val="00A27CDE"/>
    <w:rsid w:val="00A3067C"/>
    <w:rsid w:val="00A31A3E"/>
    <w:rsid w:val="00A3386E"/>
    <w:rsid w:val="00A3396E"/>
    <w:rsid w:val="00A3608B"/>
    <w:rsid w:val="00A3655D"/>
    <w:rsid w:val="00A371F5"/>
    <w:rsid w:val="00A416D2"/>
    <w:rsid w:val="00A41E49"/>
    <w:rsid w:val="00A423E9"/>
    <w:rsid w:val="00A434C1"/>
    <w:rsid w:val="00A44CF5"/>
    <w:rsid w:val="00A45078"/>
    <w:rsid w:val="00A4553B"/>
    <w:rsid w:val="00A455E4"/>
    <w:rsid w:val="00A502DC"/>
    <w:rsid w:val="00A5052F"/>
    <w:rsid w:val="00A51DAE"/>
    <w:rsid w:val="00A5219F"/>
    <w:rsid w:val="00A52290"/>
    <w:rsid w:val="00A525D0"/>
    <w:rsid w:val="00A5375B"/>
    <w:rsid w:val="00A5430B"/>
    <w:rsid w:val="00A5444A"/>
    <w:rsid w:val="00A557E7"/>
    <w:rsid w:val="00A55861"/>
    <w:rsid w:val="00A57581"/>
    <w:rsid w:val="00A6125E"/>
    <w:rsid w:val="00A618E7"/>
    <w:rsid w:val="00A61BE5"/>
    <w:rsid w:val="00A63463"/>
    <w:rsid w:val="00A63D8F"/>
    <w:rsid w:val="00A648DF"/>
    <w:rsid w:val="00A64AD7"/>
    <w:rsid w:val="00A658A6"/>
    <w:rsid w:val="00A670BB"/>
    <w:rsid w:val="00A67688"/>
    <w:rsid w:val="00A67F3C"/>
    <w:rsid w:val="00A71E7B"/>
    <w:rsid w:val="00A7244C"/>
    <w:rsid w:val="00A72B36"/>
    <w:rsid w:val="00A72FA7"/>
    <w:rsid w:val="00A73105"/>
    <w:rsid w:val="00A74A43"/>
    <w:rsid w:val="00A76060"/>
    <w:rsid w:val="00A7622A"/>
    <w:rsid w:val="00A76D52"/>
    <w:rsid w:val="00A770AA"/>
    <w:rsid w:val="00A779EA"/>
    <w:rsid w:val="00A81064"/>
    <w:rsid w:val="00A811DB"/>
    <w:rsid w:val="00A81BE3"/>
    <w:rsid w:val="00A83089"/>
    <w:rsid w:val="00A834BB"/>
    <w:rsid w:val="00A84D9C"/>
    <w:rsid w:val="00A85614"/>
    <w:rsid w:val="00A85C0C"/>
    <w:rsid w:val="00A86229"/>
    <w:rsid w:val="00A86DFE"/>
    <w:rsid w:val="00A874F5"/>
    <w:rsid w:val="00A90270"/>
    <w:rsid w:val="00A92D74"/>
    <w:rsid w:val="00A93674"/>
    <w:rsid w:val="00A93942"/>
    <w:rsid w:val="00A93FBA"/>
    <w:rsid w:val="00A94355"/>
    <w:rsid w:val="00A94E3D"/>
    <w:rsid w:val="00A95182"/>
    <w:rsid w:val="00A96168"/>
    <w:rsid w:val="00A96D15"/>
    <w:rsid w:val="00AA0E7A"/>
    <w:rsid w:val="00AA14AE"/>
    <w:rsid w:val="00AA2C81"/>
    <w:rsid w:val="00AA33EF"/>
    <w:rsid w:val="00AA3A8A"/>
    <w:rsid w:val="00AA3C6F"/>
    <w:rsid w:val="00AA47A7"/>
    <w:rsid w:val="00AA5BDE"/>
    <w:rsid w:val="00AA5FB3"/>
    <w:rsid w:val="00AA68CA"/>
    <w:rsid w:val="00AA7D71"/>
    <w:rsid w:val="00AB0C4E"/>
    <w:rsid w:val="00AB105A"/>
    <w:rsid w:val="00AB10FB"/>
    <w:rsid w:val="00AB1569"/>
    <w:rsid w:val="00AB3128"/>
    <w:rsid w:val="00AB31E3"/>
    <w:rsid w:val="00AB4E2B"/>
    <w:rsid w:val="00AB5C3A"/>
    <w:rsid w:val="00AB60A9"/>
    <w:rsid w:val="00AB6DD8"/>
    <w:rsid w:val="00AB7679"/>
    <w:rsid w:val="00AB7FAC"/>
    <w:rsid w:val="00AC0482"/>
    <w:rsid w:val="00AC0BA1"/>
    <w:rsid w:val="00AC10DE"/>
    <w:rsid w:val="00AC16CF"/>
    <w:rsid w:val="00AC1F41"/>
    <w:rsid w:val="00AC6BCA"/>
    <w:rsid w:val="00AC7694"/>
    <w:rsid w:val="00AC78AF"/>
    <w:rsid w:val="00AC7A04"/>
    <w:rsid w:val="00AC7A6E"/>
    <w:rsid w:val="00AC7AAE"/>
    <w:rsid w:val="00AD02D2"/>
    <w:rsid w:val="00AD17D5"/>
    <w:rsid w:val="00AD1ABE"/>
    <w:rsid w:val="00AD1C3F"/>
    <w:rsid w:val="00AD309E"/>
    <w:rsid w:val="00AD440C"/>
    <w:rsid w:val="00AD5D9C"/>
    <w:rsid w:val="00AE02ED"/>
    <w:rsid w:val="00AE1773"/>
    <w:rsid w:val="00AE2340"/>
    <w:rsid w:val="00AE3901"/>
    <w:rsid w:val="00AE3B1E"/>
    <w:rsid w:val="00AE3BBF"/>
    <w:rsid w:val="00AE429A"/>
    <w:rsid w:val="00AE48D3"/>
    <w:rsid w:val="00AE50C7"/>
    <w:rsid w:val="00AE613E"/>
    <w:rsid w:val="00AE686C"/>
    <w:rsid w:val="00AE7C96"/>
    <w:rsid w:val="00AF1272"/>
    <w:rsid w:val="00AF2922"/>
    <w:rsid w:val="00AF35C9"/>
    <w:rsid w:val="00AF4019"/>
    <w:rsid w:val="00AF513E"/>
    <w:rsid w:val="00AF5F20"/>
    <w:rsid w:val="00AF6DD9"/>
    <w:rsid w:val="00B001D5"/>
    <w:rsid w:val="00B003BD"/>
    <w:rsid w:val="00B01365"/>
    <w:rsid w:val="00B0248C"/>
    <w:rsid w:val="00B02A03"/>
    <w:rsid w:val="00B02D81"/>
    <w:rsid w:val="00B03338"/>
    <w:rsid w:val="00B0340E"/>
    <w:rsid w:val="00B03425"/>
    <w:rsid w:val="00B03F8A"/>
    <w:rsid w:val="00B04CD1"/>
    <w:rsid w:val="00B067AE"/>
    <w:rsid w:val="00B06D13"/>
    <w:rsid w:val="00B06D1B"/>
    <w:rsid w:val="00B07683"/>
    <w:rsid w:val="00B1022B"/>
    <w:rsid w:val="00B140E1"/>
    <w:rsid w:val="00B158B1"/>
    <w:rsid w:val="00B1674D"/>
    <w:rsid w:val="00B2014E"/>
    <w:rsid w:val="00B2100C"/>
    <w:rsid w:val="00B22166"/>
    <w:rsid w:val="00B23064"/>
    <w:rsid w:val="00B23DCE"/>
    <w:rsid w:val="00B24935"/>
    <w:rsid w:val="00B249CC"/>
    <w:rsid w:val="00B2705F"/>
    <w:rsid w:val="00B3049D"/>
    <w:rsid w:val="00B313DC"/>
    <w:rsid w:val="00B31662"/>
    <w:rsid w:val="00B3200C"/>
    <w:rsid w:val="00B33845"/>
    <w:rsid w:val="00B344E9"/>
    <w:rsid w:val="00B36194"/>
    <w:rsid w:val="00B37D3A"/>
    <w:rsid w:val="00B42695"/>
    <w:rsid w:val="00B428EE"/>
    <w:rsid w:val="00B432F7"/>
    <w:rsid w:val="00B43938"/>
    <w:rsid w:val="00B43A2C"/>
    <w:rsid w:val="00B44971"/>
    <w:rsid w:val="00B450E8"/>
    <w:rsid w:val="00B452B4"/>
    <w:rsid w:val="00B45FAD"/>
    <w:rsid w:val="00B46C27"/>
    <w:rsid w:val="00B46F8C"/>
    <w:rsid w:val="00B474E0"/>
    <w:rsid w:val="00B47A49"/>
    <w:rsid w:val="00B51660"/>
    <w:rsid w:val="00B51BDF"/>
    <w:rsid w:val="00B52CAE"/>
    <w:rsid w:val="00B53D28"/>
    <w:rsid w:val="00B54FD7"/>
    <w:rsid w:val="00B557B5"/>
    <w:rsid w:val="00B5606D"/>
    <w:rsid w:val="00B568CC"/>
    <w:rsid w:val="00B618AE"/>
    <w:rsid w:val="00B6348D"/>
    <w:rsid w:val="00B638A2"/>
    <w:rsid w:val="00B63E26"/>
    <w:rsid w:val="00B64080"/>
    <w:rsid w:val="00B64221"/>
    <w:rsid w:val="00B647AD"/>
    <w:rsid w:val="00B64879"/>
    <w:rsid w:val="00B658B7"/>
    <w:rsid w:val="00B65B00"/>
    <w:rsid w:val="00B6671C"/>
    <w:rsid w:val="00B6789F"/>
    <w:rsid w:val="00B71F25"/>
    <w:rsid w:val="00B7307F"/>
    <w:rsid w:val="00B738CD"/>
    <w:rsid w:val="00B73D6D"/>
    <w:rsid w:val="00B74A20"/>
    <w:rsid w:val="00B74C9C"/>
    <w:rsid w:val="00B7538F"/>
    <w:rsid w:val="00B77337"/>
    <w:rsid w:val="00B80A9A"/>
    <w:rsid w:val="00B825A8"/>
    <w:rsid w:val="00B83515"/>
    <w:rsid w:val="00B83704"/>
    <w:rsid w:val="00B844E0"/>
    <w:rsid w:val="00B86C77"/>
    <w:rsid w:val="00B874D4"/>
    <w:rsid w:val="00B90568"/>
    <w:rsid w:val="00B91357"/>
    <w:rsid w:val="00B91571"/>
    <w:rsid w:val="00B91F92"/>
    <w:rsid w:val="00B927A0"/>
    <w:rsid w:val="00B92AA3"/>
    <w:rsid w:val="00B92C44"/>
    <w:rsid w:val="00B92C66"/>
    <w:rsid w:val="00B9509B"/>
    <w:rsid w:val="00B979E9"/>
    <w:rsid w:val="00B97DAD"/>
    <w:rsid w:val="00BA1183"/>
    <w:rsid w:val="00BA2982"/>
    <w:rsid w:val="00BA2DE3"/>
    <w:rsid w:val="00BA42E0"/>
    <w:rsid w:val="00BA4C54"/>
    <w:rsid w:val="00BA5334"/>
    <w:rsid w:val="00BA5BBE"/>
    <w:rsid w:val="00BA6082"/>
    <w:rsid w:val="00BA657B"/>
    <w:rsid w:val="00BA77F1"/>
    <w:rsid w:val="00BA7EC3"/>
    <w:rsid w:val="00BB0A44"/>
    <w:rsid w:val="00BB2CDC"/>
    <w:rsid w:val="00BB4D44"/>
    <w:rsid w:val="00BB4DAC"/>
    <w:rsid w:val="00BB566C"/>
    <w:rsid w:val="00BB5AE4"/>
    <w:rsid w:val="00BB6255"/>
    <w:rsid w:val="00BB69F3"/>
    <w:rsid w:val="00BB71BB"/>
    <w:rsid w:val="00BB7E1E"/>
    <w:rsid w:val="00BC075D"/>
    <w:rsid w:val="00BC0D4F"/>
    <w:rsid w:val="00BC1196"/>
    <w:rsid w:val="00BC14F7"/>
    <w:rsid w:val="00BC15F1"/>
    <w:rsid w:val="00BC270F"/>
    <w:rsid w:val="00BC30C4"/>
    <w:rsid w:val="00BC3855"/>
    <w:rsid w:val="00BC446F"/>
    <w:rsid w:val="00BC477C"/>
    <w:rsid w:val="00BC512F"/>
    <w:rsid w:val="00BC610A"/>
    <w:rsid w:val="00BC7341"/>
    <w:rsid w:val="00BC73E0"/>
    <w:rsid w:val="00BD0072"/>
    <w:rsid w:val="00BD1AF0"/>
    <w:rsid w:val="00BD1D25"/>
    <w:rsid w:val="00BD2092"/>
    <w:rsid w:val="00BD23B8"/>
    <w:rsid w:val="00BD2688"/>
    <w:rsid w:val="00BD2759"/>
    <w:rsid w:val="00BD300B"/>
    <w:rsid w:val="00BD35A6"/>
    <w:rsid w:val="00BD3912"/>
    <w:rsid w:val="00BD52C8"/>
    <w:rsid w:val="00BD595E"/>
    <w:rsid w:val="00BD67CC"/>
    <w:rsid w:val="00BD7801"/>
    <w:rsid w:val="00BE0076"/>
    <w:rsid w:val="00BE071D"/>
    <w:rsid w:val="00BE373F"/>
    <w:rsid w:val="00BE4440"/>
    <w:rsid w:val="00BE5622"/>
    <w:rsid w:val="00BE5881"/>
    <w:rsid w:val="00BE682C"/>
    <w:rsid w:val="00BE6A60"/>
    <w:rsid w:val="00BE75A5"/>
    <w:rsid w:val="00BE781E"/>
    <w:rsid w:val="00BE7FA3"/>
    <w:rsid w:val="00BF0FCD"/>
    <w:rsid w:val="00BF157A"/>
    <w:rsid w:val="00BF2186"/>
    <w:rsid w:val="00BF2716"/>
    <w:rsid w:val="00BF2718"/>
    <w:rsid w:val="00BF3558"/>
    <w:rsid w:val="00BF48C5"/>
    <w:rsid w:val="00BF4DBC"/>
    <w:rsid w:val="00BF4ED3"/>
    <w:rsid w:val="00BF5319"/>
    <w:rsid w:val="00BF58AF"/>
    <w:rsid w:val="00BF66E6"/>
    <w:rsid w:val="00BF6E6F"/>
    <w:rsid w:val="00BF790D"/>
    <w:rsid w:val="00C04BCA"/>
    <w:rsid w:val="00C05410"/>
    <w:rsid w:val="00C060DD"/>
    <w:rsid w:val="00C0796A"/>
    <w:rsid w:val="00C07AB7"/>
    <w:rsid w:val="00C07FC6"/>
    <w:rsid w:val="00C10FE8"/>
    <w:rsid w:val="00C12BCA"/>
    <w:rsid w:val="00C13796"/>
    <w:rsid w:val="00C13F4A"/>
    <w:rsid w:val="00C1460E"/>
    <w:rsid w:val="00C1482E"/>
    <w:rsid w:val="00C14C4B"/>
    <w:rsid w:val="00C14DC8"/>
    <w:rsid w:val="00C159DF"/>
    <w:rsid w:val="00C16C65"/>
    <w:rsid w:val="00C171E8"/>
    <w:rsid w:val="00C211C9"/>
    <w:rsid w:val="00C21D20"/>
    <w:rsid w:val="00C22E47"/>
    <w:rsid w:val="00C2337F"/>
    <w:rsid w:val="00C23874"/>
    <w:rsid w:val="00C23B7C"/>
    <w:rsid w:val="00C24444"/>
    <w:rsid w:val="00C25327"/>
    <w:rsid w:val="00C25BFF"/>
    <w:rsid w:val="00C26CC2"/>
    <w:rsid w:val="00C27B07"/>
    <w:rsid w:val="00C27DB9"/>
    <w:rsid w:val="00C305A7"/>
    <w:rsid w:val="00C30E7D"/>
    <w:rsid w:val="00C329CD"/>
    <w:rsid w:val="00C331B0"/>
    <w:rsid w:val="00C338E5"/>
    <w:rsid w:val="00C347F8"/>
    <w:rsid w:val="00C365E6"/>
    <w:rsid w:val="00C371B6"/>
    <w:rsid w:val="00C37F63"/>
    <w:rsid w:val="00C41EFD"/>
    <w:rsid w:val="00C42580"/>
    <w:rsid w:val="00C43307"/>
    <w:rsid w:val="00C43370"/>
    <w:rsid w:val="00C44DDA"/>
    <w:rsid w:val="00C452EF"/>
    <w:rsid w:val="00C45663"/>
    <w:rsid w:val="00C47268"/>
    <w:rsid w:val="00C472BE"/>
    <w:rsid w:val="00C47CD1"/>
    <w:rsid w:val="00C502FE"/>
    <w:rsid w:val="00C5111E"/>
    <w:rsid w:val="00C51875"/>
    <w:rsid w:val="00C523B1"/>
    <w:rsid w:val="00C52C39"/>
    <w:rsid w:val="00C536D3"/>
    <w:rsid w:val="00C5391D"/>
    <w:rsid w:val="00C54286"/>
    <w:rsid w:val="00C54CCB"/>
    <w:rsid w:val="00C56905"/>
    <w:rsid w:val="00C56979"/>
    <w:rsid w:val="00C5718D"/>
    <w:rsid w:val="00C5738F"/>
    <w:rsid w:val="00C57F1C"/>
    <w:rsid w:val="00C60CA4"/>
    <w:rsid w:val="00C6112B"/>
    <w:rsid w:val="00C615D9"/>
    <w:rsid w:val="00C63490"/>
    <w:rsid w:val="00C63D35"/>
    <w:rsid w:val="00C6475D"/>
    <w:rsid w:val="00C64D93"/>
    <w:rsid w:val="00C64F31"/>
    <w:rsid w:val="00C65BE4"/>
    <w:rsid w:val="00C65CD6"/>
    <w:rsid w:val="00C661B4"/>
    <w:rsid w:val="00C666FB"/>
    <w:rsid w:val="00C66DC9"/>
    <w:rsid w:val="00C676BA"/>
    <w:rsid w:val="00C679DF"/>
    <w:rsid w:val="00C67F19"/>
    <w:rsid w:val="00C7056D"/>
    <w:rsid w:val="00C71CE1"/>
    <w:rsid w:val="00C72EAD"/>
    <w:rsid w:val="00C7314A"/>
    <w:rsid w:val="00C73210"/>
    <w:rsid w:val="00C73699"/>
    <w:rsid w:val="00C745E7"/>
    <w:rsid w:val="00C77651"/>
    <w:rsid w:val="00C777D6"/>
    <w:rsid w:val="00C80CF0"/>
    <w:rsid w:val="00C8133C"/>
    <w:rsid w:val="00C83004"/>
    <w:rsid w:val="00C83CF8"/>
    <w:rsid w:val="00C8437D"/>
    <w:rsid w:val="00C8469E"/>
    <w:rsid w:val="00C84D20"/>
    <w:rsid w:val="00C86CDB"/>
    <w:rsid w:val="00C877B1"/>
    <w:rsid w:val="00C87988"/>
    <w:rsid w:val="00C87AFB"/>
    <w:rsid w:val="00C90B3E"/>
    <w:rsid w:val="00C91C2B"/>
    <w:rsid w:val="00C92A3F"/>
    <w:rsid w:val="00C92E58"/>
    <w:rsid w:val="00C9355E"/>
    <w:rsid w:val="00C935C0"/>
    <w:rsid w:val="00C94DC6"/>
    <w:rsid w:val="00C95F15"/>
    <w:rsid w:val="00C964B0"/>
    <w:rsid w:val="00C96B8B"/>
    <w:rsid w:val="00C97142"/>
    <w:rsid w:val="00C976B2"/>
    <w:rsid w:val="00C97747"/>
    <w:rsid w:val="00CA0489"/>
    <w:rsid w:val="00CA1374"/>
    <w:rsid w:val="00CA1707"/>
    <w:rsid w:val="00CA2380"/>
    <w:rsid w:val="00CA4B1B"/>
    <w:rsid w:val="00CA4F82"/>
    <w:rsid w:val="00CA62B7"/>
    <w:rsid w:val="00CA655C"/>
    <w:rsid w:val="00CA7970"/>
    <w:rsid w:val="00CB0153"/>
    <w:rsid w:val="00CB07A1"/>
    <w:rsid w:val="00CB11CD"/>
    <w:rsid w:val="00CB12A1"/>
    <w:rsid w:val="00CB1835"/>
    <w:rsid w:val="00CB3D3C"/>
    <w:rsid w:val="00CB3D7A"/>
    <w:rsid w:val="00CB4F87"/>
    <w:rsid w:val="00CB686F"/>
    <w:rsid w:val="00CB687B"/>
    <w:rsid w:val="00CB75B5"/>
    <w:rsid w:val="00CB7D60"/>
    <w:rsid w:val="00CB7E6E"/>
    <w:rsid w:val="00CC1301"/>
    <w:rsid w:val="00CC3568"/>
    <w:rsid w:val="00CC40DF"/>
    <w:rsid w:val="00CC4F5D"/>
    <w:rsid w:val="00CC5DAD"/>
    <w:rsid w:val="00CC642A"/>
    <w:rsid w:val="00CC6892"/>
    <w:rsid w:val="00CC70D5"/>
    <w:rsid w:val="00CC7441"/>
    <w:rsid w:val="00CD0054"/>
    <w:rsid w:val="00CD06CF"/>
    <w:rsid w:val="00CD08D5"/>
    <w:rsid w:val="00CD097A"/>
    <w:rsid w:val="00CD1BB1"/>
    <w:rsid w:val="00CD1BD6"/>
    <w:rsid w:val="00CD2F60"/>
    <w:rsid w:val="00CD2FE0"/>
    <w:rsid w:val="00CD4077"/>
    <w:rsid w:val="00CD58F9"/>
    <w:rsid w:val="00CD6B14"/>
    <w:rsid w:val="00CD6DD6"/>
    <w:rsid w:val="00CD6FD9"/>
    <w:rsid w:val="00CD7B7F"/>
    <w:rsid w:val="00CD7CA3"/>
    <w:rsid w:val="00CE1CE7"/>
    <w:rsid w:val="00CE24DB"/>
    <w:rsid w:val="00CE4045"/>
    <w:rsid w:val="00CE48CD"/>
    <w:rsid w:val="00CE56D4"/>
    <w:rsid w:val="00CE700B"/>
    <w:rsid w:val="00CF0C0E"/>
    <w:rsid w:val="00CF1179"/>
    <w:rsid w:val="00CF1405"/>
    <w:rsid w:val="00CF1864"/>
    <w:rsid w:val="00CF3A19"/>
    <w:rsid w:val="00CF4B91"/>
    <w:rsid w:val="00CF4B96"/>
    <w:rsid w:val="00CF5D0D"/>
    <w:rsid w:val="00CF60BF"/>
    <w:rsid w:val="00CF66E1"/>
    <w:rsid w:val="00CF6A88"/>
    <w:rsid w:val="00D014F6"/>
    <w:rsid w:val="00D016FA"/>
    <w:rsid w:val="00D01F9D"/>
    <w:rsid w:val="00D0238F"/>
    <w:rsid w:val="00D02464"/>
    <w:rsid w:val="00D027C1"/>
    <w:rsid w:val="00D02A63"/>
    <w:rsid w:val="00D03441"/>
    <w:rsid w:val="00D03BAE"/>
    <w:rsid w:val="00D03D8D"/>
    <w:rsid w:val="00D04521"/>
    <w:rsid w:val="00D04B0B"/>
    <w:rsid w:val="00D0590C"/>
    <w:rsid w:val="00D05E0A"/>
    <w:rsid w:val="00D061C2"/>
    <w:rsid w:val="00D06D0B"/>
    <w:rsid w:val="00D07312"/>
    <w:rsid w:val="00D1016B"/>
    <w:rsid w:val="00D10D74"/>
    <w:rsid w:val="00D11203"/>
    <w:rsid w:val="00D1156B"/>
    <w:rsid w:val="00D118A5"/>
    <w:rsid w:val="00D11B58"/>
    <w:rsid w:val="00D13BB0"/>
    <w:rsid w:val="00D140DE"/>
    <w:rsid w:val="00D157BA"/>
    <w:rsid w:val="00D16044"/>
    <w:rsid w:val="00D162D5"/>
    <w:rsid w:val="00D170EE"/>
    <w:rsid w:val="00D17136"/>
    <w:rsid w:val="00D2033F"/>
    <w:rsid w:val="00D222AF"/>
    <w:rsid w:val="00D22F74"/>
    <w:rsid w:val="00D25163"/>
    <w:rsid w:val="00D2647B"/>
    <w:rsid w:val="00D26572"/>
    <w:rsid w:val="00D268C3"/>
    <w:rsid w:val="00D31C78"/>
    <w:rsid w:val="00D3275D"/>
    <w:rsid w:val="00D32CED"/>
    <w:rsid w:val="00D349BD"/>
    <w:rsid w:val="00D35DD0"/>
    <w:rsid w:val="00D3790B"/>
    <w:rsid w:val="00D40A8B"/>
    <w:rsid w:val="00D40BCC"/>
    <w:rsid w:val="00D411C2"/>
    <w:rsid w:val="00D41352"/>
    <w:rsid w:val="00D447E9"/>
    <w:rsid w:val="00D44DF5"/>
    <w:rsid w:val="00D44FCF"/>
    <w:rsid w:val="00D45372"/>
    <w:rsid w:val="00D456FD"/>
    <w:rsid w:val="00D45F0B"/>
    <w:rsid w:val="00D4773E"/>
    <w:rsid w:val="00D5009B"/>
    <w:rsid w:val="00D5097A"/>
    <w:rsid w:val="00D50B11"/>
    <w:rsid w:val="00D50FAA"/>
    <w:rsid w:val="00D5280E"/>
    <w:rsid w:val="00D52BF7"/>
    <w:rsid w:val="00D54AB5"/>
    <w:rsid w:val="00D5518E"/>
    <w:rsid w:val="00D56333"/>
    <w:rsid w:val="00D575E8"/>
    <w:rsid w:val="00D57884"/>
    <w:rsid w:val="00D5792C"/>
    <w:rsid w:val="00D60530"/>
    <w:rsid w:val="00D615E8"/>
    <w:rsid w:val="00D61B49"/>
    <w:rsid w:val="00D61E48"/>
    <w:rsid w:val="00D62ADE"/>
    <w:rsid w:val="00D63995"/>
    <w:rsid w:val="00D64C5E"/>
    <w:rsid w:val="00D65732"/>
    <w:rsid w:val="00D65887"/>
    <w:rsid w:val="00D65C6D"/>
    <w:rsid w:val="00D66001"/>
    <w:rsid w:val="00D66485"/>
    <w:rsid w:val="00D67094"/>
    <w:rsid w:val="00D70468"/>
    <w:rsid w:val="00D710CB"/>
    <w:rsid w:val="00D71FFC"/>
    <w:rsid w:val="00D727A7"/>
    <w:rsid w:val="00D727E1"/>
    <w:rsid w:val="00D72A21"/>
    <w:rsid w:val="00D73411"/>
    <w:rsid w:val="00D7373D"/>
    <w:rsid w:val="00D73D2D"/>
    <w:rsid w:val="00D74FC1"/>
    <w:rsid w:val="00D76473"/>
    <w:rsid w:val="00D77675"/>
    <w:rsid w:val="00D8154B"/>
    <w:rsid w:val="00D8315E"/>
    <w:rsid w:val="00D8351D"/>
    <w:rsid w:val="00D85185"/>
    <w:rsid w:val="00D85395"/>
    <w:rsid w:val="00D85577"/>
    <w:rsid w:val="00D86CCA"/>
    <w:rsid w:val="00D87820"/>
    <w:rsid w:val="00D9055C"/>
    <w:rsid w:val="00D9087C"/>
    <w:rsid w:val="00D90978"/>
    <w:rsid w:val="00D90AA4"/>
    <w:rsid w:val="00D90E8A"/>
    <w:rsid w:val="00D91696"/>
    <w:rsid w:val="00D91B0B"/>
    <w:rsid w:val="00D92B65"/>
    <w:rsid w:val="00D935B8"/>
    <w:rsid w:val="00D94678"/>
    <w:rsid w:val="00D94716"/>
    <w:rsid w:val="00D96B56"/>
    <w:rsid w:val="00D97D61"/>
    <w:rsid w:val="00DA02A5"/>
    <w:rsid w:val="00DA08DB"/>
    <w:rsid w:val="00DA2910"/>
    <w:rsid w:val="00DA3358"/>
    <w:rsid w:val="00DA341B"/>
    <w:rsid w:val="00DA3A6E"/>
    <w:rsid w:val="00DA3F8A"/>
    <w:rsid w:val="00DA4233"/>
    <w:rsid w:val="00DA4A84"/>
    <w:rsid w:val="00DA683C"/>
    <w:rsid w:val="00DA6954"/>
    <w:rsid w:val="00DA76B9"/>
    <w:rsid w:val="00DA7ABF"/>
    <w:rsid w:val="00DB0232"/>
    <w:rsid w:val="00DB23E0"/>
    <w:rsid w:val="00DB24F8"/>
    <w:rsid w:val="00DB323B"/>
    <w:rsid w:val="00DB4078"/>
    <w:rsid w:val="00DB40A9"/>
    <w:rsid w:val="00DB5627"/>
    <w:rsid w:val="00DB59C0"/>
    <w:rsid w:val="00DB6410"/>
    <w:rsid w:val="00DB648C"/>
    <w:rsid w:val="00DB6B86"/>
    <w:rsid w:val="00DB7991"/>
    <w:rsid w:val="00DC0644"/>
    <w:rsid w:val="00DC0BFF"/>
    <w:rsid w:val="00DC103A"/>
    <w:rsid w:val="00DC1FD9"/>
    <w:rsid w:val="00DC2988"/>
    <w:rsid w:val="00DC3E2D"/>
    <w:rsid w:val="00DC3ED0"/>
    <w:rsid w:val="00DC50D4"/>
    <w:rsid w:val="00DC5469"/>
    <w:rsid w:val="00DC63E9"/>
    <w:rsid w:val="00DC6538"/>
    <w:rsid w:val="00DC67BE"/>
    <w:rsid w:val="00DC6EDF"/>
    <w:rsid w:val="00DC6F2D"/>
    <w:rsid w:val="00DC761F"/>
    <w:rsid w:val="00DD0741"/>
    <w:rsid w:val="00DD0FB5"/>
    <w:rsid w:val="00DD3456"/>
    <w:rsid w:val="00DD5074"/>
    <w:rsid w:val="00DD592F"/>
    <w:rsid w:val="00DD6690"/>
    <w:rsid w:val="00DD6F06"/>
    <w:rsid w:val="00DE013B"/>
    <w:rsid w:val="00DE193D"/>
    <w:rsid w:val="00DE254C"/>
    <w:rsid w:val="00DE2C1A"/>
    <w:rsid w:val="00DE2D4D"/>
    <w:rsid w:val="00DE3CD2"/>
    <w:rsid w:val="00DE4434"/>
    <w:rsid w:val="00DE5BA8"/>
    <w:rsid w:val="00DE67A3"/>
    <w:rsid w:val="00DE6CD5"/>
    <w:rsid w:val="00DE6D61"/>
    <w:rsid w:val="00DE7528"/>
    <w:rsid w:val="00DF17DD"/>
    <w:rsid w:val="00DF2399"/>
    <w:rsid w:val="00DF28EC"/>
    <w:rsid w:val="00DF2F67"/>
    <w:rsid w:val="00DF44F0"/>
    <w:rsid w:val="00DF7070"/>
    <w:rsid w:val="00E000B6"/>
    <w:rsid w:val="00E00517"/>
    <w:rsid w:val="00E00556"/>
    <w:rsid w:val="00E007FA"/>
    <w:rsid w:val="00E00800"/>
    <w:rsid w:val="00E011AB"/>
    <w:rsid w:val="00E01519"/>
    <w:rsid w:val="00E01F50"/>
    <w:rsid w:val="00E02163"/>
    <w:rsid w:val="00E02C77"/>
    <w:rsid w:val="00E032A3"/>
    <w:rsid w:val="00E0384F"/>
    <w:rsid w:val="00E04727"/>
    <w:rsid w:val="00E047F4"/>
    <w:rsid w:val="00E04AB5"/>
    <w:rsid w:val="00E04BC1"/>
    <w:rsid w:val="00E04D8C"/>
    <w:rsid w:val="00E05173"/>
    <w:rsid w:val="00E055FC"/>
    <w:rsid w:val="00E06681"/>
    <w:rsid w:val="00E103BB"/>
    <w:rsid w:val="00E108F1"/>
    <w:rsid w:val="00E10A3A"/>
    <w:rsid w:val="00E10F5C"/>
    <w:rsid w:val="00E1117C"/>
    <w:rsid w:val="00E113F7"/>
    <w:rsid w:val="00E14075"/>
    <w:rsid w:val="00E14841"/>
    <w:rsid w:val="00E149A4"/>
    <w:rsid w:val="00E149DF"/>
    <w:rsid w:val="00E15EF6"/>
    <w:rsid w:val="00E15F67"/>
    <w:rsid w:val="00E16114"/>
    <w:rsid w:val="00E163EF"/>
    <w:rsid w:val="00E17613"/>
    <w:rsid w:val="00E2036B"/>
    <w:rsid w:val="00E20653"/>
    <w:rsid w:val="00E213B9"/>
    <w:rsid w:val="00E214E4"/>
    <w:rsid w:val="00E2366A"/>
    <w:rsid w:val="00E23B17"/>
    <w:rsid w:val="00E24988"/>
    <w:rsid w:val="00E27045"/>
    <w:rsid w:val="00E27B40"/>
    <w:rsid w:val="00E30898"/>
    <w:rsid w:val="00E30E2D"/>
    <w:rsid w:val="00E314D6"/>
    <w:rsid w:val="00E315DC"/>
    <w:rsid w:val="00E32920"/>
    <w:rsid w:val="00E33A4E"/>
    <w:rsid w:val="00E3401E"/>
    <w:rsid w:val="00E3510E"/>
    <w:rsid w:val="00E354EC"/>
    <w:rsid w:val="00E35E70"/>
    <w:rsid w:val="00E3670F"/>
    <w:rsid w:val="00E37242"/>
    <w:rsid w:val="00E40815"/>
    <w:rsid w:val="00E41D36"/>
    <w:rsid w:val="00E423F0"/>
    <w:rsid w:val="00E4298F"/>
    <w:rsid w:val="00E43943"/>
    <w:rsid w:val="00E44186"/>
    <w:rsid w:val="00E45ABF"/>
    <w:rsid w:val="00E46421"/>
    <w:rsid w:val="00E51CD0"/>
    <w:rsid w:val="00E52573"/>
    <w:rsid w:val="00E52DAE"/>
    <w:rsid w:val="00E52DB5"/>
    <w:rsid w:val="00E53536"/>
    <w:rsid w:val="00E5401D"/>
    <w:rsid w:val="00E542DB"/>
    <w:rsid w:val="00E54D41"/>
    <w:rsid w:val="00E54FEA"/>
    <w:rsid w:val="00E558DF"/>
    <w:rsid w:val="00E56C6E"/>
    <w:rsid w:val="00E56FC4"/>
    <w:rsid w:val="00E57683"/>
    <w:rsid w:val="00E61733"/>
    <w:rsid w:val="00E62B27"/>
    <w:rsid w:val="00E62C79"/>
    <w:rsid w:val="00E630B6"/>
    <w:rsid w:val="00E6358E"/>
    <w:rsid w:val="00E63A9D"/>
    <w:rsid w:val="00E64479"/>
    <w:rsid w:val="00E6664A"/>
    <w:rsid w:val="00E67868"/>
    <w:rsid w:val="00E70FBA"/>
    <w:rsid w:val="00E726C7"/>
    <w:rsid w:val="00E72A12"/>
    <w:rsid w:val="00E738A9"/>
    <w:rsid w:val="00E73C83"/>
    <w:rsid w:val="00E760D9"/>
    <w:rsid w:val="00E7635E"/>
    <w:rsid w:val="00E76432"/>
    <w:rsid w:val="00E76621"/>
    <w:rsid w:val="00E766F8"/>
    <w:rsid w:val="00E76735"/>
    <w:rsid w:val="00E76775"/>
    <w:rsid w:val="00E76893"/>
    <w:rsid w:val="00E76D14"/>
    <w:rsid w:val="00E76FE1"/>
    <w:rsid w:val="00E81654"/>
    <w:rsid w:val="00E83B89"/>
    <w:rsid w:val="00E84282"/>
    <w:rsid w:val="00E84323"/>
    <w:rsid w:val="00E84EE8"/>
    <w:rsid w:val="00E8504F"/>
    <w:rsid w:val="00E85908"/>
    <w:rsid w:val="00E85B01"/>
    <w:rsid w:val="00E86666"/>
    <w:rsid w:val="00E8689C"/>
    <w:rsid w:val="00E86D51"/>
    <w:rsid w:val="00E901D0"/>
    <w:rsid w:val="00E91C89"/>
    <w:rsid w:val="00E92B45"/>
    <w:rsid w:val="00E94FDA"/>
    <w:rsid w:val="00E95BD6"/>
    <w:rsid w:val="00E95DC7"/>
    <w:rsid w:val="00E9603B"/>
    <w:rsid w:val="00E96CC6"/>
    <w:rsid w:val="00E97500"/>
    <w:rsid w:val="00EA009D"/>
    <w:rsid w:val="00EA0DD0"/>
    <w:rsid w:val="00EA403E"/>
    <w:rsid w:val="00EA4325"/>
    <w:rsid w:val="00EA46D3"/>
    <w:rsid w:val="00EA4A93"/>
    <w:rsid w:val="00EA5605"/>
    <w:rsid w:val="00EA5C33"/>
    <w:rsid w:val="00EA7CC2"/>
    <w:rsid w:val="00EB0F30"/>
    <w:rsid w:val="00EB20E0"/>
    <w:rsid w:val="00EB23FA"/>
    <w:rsid w:val="00EB3F4C"/>
    <w:rsid w:val="00EB55C8"/>
    <w:rsid w:val="00EB5F26"/>
    <w:rsid w:val="00EB6030"/>
    <w:rsid w:val="00EB6536"/>
    <w:rsid w:val="00EB7F0D"/>
    <w:rsid w:val="00EC0CF2"/>
    <w:rsid w:val="00EC19C9"/>
    <w:rsid w:val="00EC1BBF"/>
    <w:rsid w:val="00EC20E8"/>
    <w:rsid w:val="00EC243F"/>
    <w:rsid w:val="00EC2DB1"/>
    <w:rsid w:val="00EC38EE"/>
    <w:rsid w:val="00EC3C44"/>
    <w:rsid w:val="00EC5395"/>
    <w:rsid w:val="00EC5469"/>
    <w:rsid w:val="00EC5FC5"/>
    <w:rsid w:val="00EC6988"/>
    <w:rsid w:val="00EC7F82"/>
    <w:rsid w:val="00ED14C8"/>
    <w:rsid w:val="00ED1A07"/>
    <w:rsid w:val="00ED2F27"/>
    <w:rsid w:val="00ED4501"/>
    <w:rsid w:val="00ED5B81"/>
    <w:rsid w:val="00ED5F5D"/>
    <w:rsid w:val="00ED6575"/>
    <w:rsid w:val="00ED6EFA"/>
    <w:rsid w:val="00ED7317"/>
    <w:rsid w:val="00EE1BC4"/>
    <w:rsid w:val="00EE1E76"/>
    <w:rsid w:val="00EE28EE"/>
    <w:rsid w:val="00EE3DCA"/>
    <w:rsid w:val="00EE3DE8"/>
    <w:rsid w:val="00EE497A"/>
    <w:rsid w:val="00EE6520"/>
    <w:rsid w:val="00EE7C6B"/>
    <w:rsid w:val="00EF1F07"/>
    <w:rsid w:val="00EF45FA"/>
    <w:rsid w:val="00EF7872"/>
    <w:rsid w:val="00F00D1D"/>
    <w:rsid w:val="00F01626"/>
    <w:rsid w:val="00F016C0"/>
    <w:rsid w:val="00F01FB5"/>
    <w:rsid w:val="00F02314"/>
    <w:rsid w:val="00F02A5C"/>
    <w:rsid w:val="00F02B7D"/>
    <w:rsid w:val="00F02E5D"/>
    <w:rsid w:val="00F03187"/>
    <w:rsid w:val="00F0450E"/>
    <w:rsid w:val="00F053E2"/>
    <w:rsid w:val="00F05B6B"/>
    <w:rsid w:val="00F068AB"/>
    <w:rsid w:val="00F06A82"/>
    <w:rsid w:val="00F06E07"/>
    <w:rsid w:val="00F07143"/>
    <w:rsid w:val="00F07456"/>
    <w:rsid w:val="00F119D6"/>
    <w:rsid w:val="00F134B5"/>
    <w:rsid w:val="00F137D1"/>
    <w:rsid w:val="00F13F25"/>
    <w:rsid w:val="00F15ABF"/>
    <w:rsid w:val="00F16561"/>
    <w:rsid w:val="00F16A9A"/>
    <w:rsid w:val="00F16B69"/>
    <w:rsid w:val="00F20D46"/>
    <w:rsid w:val="00F2165F"/>
    <w:rsid w:val="00F21DFF"/>
    <w:rsid w:val="00F22251"/>
    <w:rsid w:val="00F23E2A"/>
    <w:rsid w:val="00F24964"/>
    <w:rsid w:val="00F24A17"/>
    <w:rsid w:val="00F25D87"/>
    <w:rsid w:val="00F2639F"/>
    <w:rsid w:val="00F26746"/>
    <w:rsid w:val="00F30909"/>
    <w:rsid w:val="00F30D0F"/>
    <w:rsid w:val="00F3219E"/>
    <w:rsid w:val="00F32DD5"/>
    <w:rsid w:val="00F356AE"/>
    <w:rsid w:val="00F35F07"/>
    <w:rsid w:val="00F36443"/>
    <w:rsid w:val="00F366BD"/>
    <w:rsid w:val="00F376F8"/>
    <w:rsid w:val="00F37887"/>
    <w:rsid w:val="00F37958"/>
    <w:rsid w:val="00F40112"/>
    <w:rsid w:val="00F43629"/>
    <w:rsid w:val="00F43AB0"/>
    <w:rsid w:val="00F448FF"/>
    <w:rsid w:val="00F44EF2"/>
    <w:rsid w:val="00F45607"/>
    <w:rsid w:val="00F45D10"/>
    <w:rsid w:val="00F46F41"/>
    <w:rsid w:val="00F470B3"/>
    <w:rsid w:val="00F473DC"/>
    <w:rsid w:val="00F4768E"/>
    <w:rsid w:val="00F50369"/>
    <w:rsid w:val="00F50A58"/>
    <w:rsid w:val="00F50F1C"/>
    <w:rsid w:val="00F519F5"/>
    <w:rsid w:val="00F51B21"/>
    <w:rsid w:val="00F5312C"/>
    <w:rsid w:val="00F54CC8"/>
    <w:rsid w:val="00F5542E"/>
    <w:rsid w:val="00F565B9"/>
    <w:rsid w:val="00F56D8E"/>
    <w:rsid w:val="00F64DE1"/>
    <w:rsid w:val="00F65708"/>
    <w:rsid w:val="00F65AF9"/>
    <w:rsid w:val="00F66230"/>
    <w:rsid w:val="00F66B0A"/>
    <w:rsid w:val="00F67230"/>
    <w:rsid w:val="00F6771A"/>
    <w:rsid w:val="00F67CE1"/>
    <w:rsid w:val="00F67FB2"/>
    <w:rsid w:val="00F71126"/>
    <w:rsid w:val="00F718B6"/>
    <w:rsid w:val="00F718DF"/>
    <w:rsid w:val="00F71949"/>
    <w:rsid w:val="00F71B86"/>
    <w:rsid w:val="00F72A2F"/>
    <w:rsid w:val="00F752E1"/>
    <w:rsid w:val="00F7686B"/>
    <w:rsid w:val="00F77D13"/>
    <w:rsid w:val="00F77F06"/>
    <w:rsid w:val="00F808FC"/>
    <w:rsid w:val="00F814BB"/>
    <w:rsid w:val="00F81A64"/>
    <w:rsid w:val="00F81C34"/>
    <w:rsid w:val="00F8275B"/>
    <w:rsid w:val="00F8571F"/>
    <w:rsid w:val="00F85E3B"/>
    <w:rsid w:val="00F8648F"/>
    <w:rsid w:val="00F86A68"/>
    <w:rsid w:val="00F87A2C"/>
    <w:rsid w:val="00F9034C"/>
    <w:rsid w:val="00F90560"/>
    <w:rsid w:val="00F91EAA"/>
    <w:rsid w:val="00F93981"/>
    <w:rsid w:val="00F93BCA"/>
    <w:rsid w:val="00FA16FF"/>
    <w:rsid w:val="00FA1D1D"/>
    <w:rsid w:val="00FA6AD3"/>
    <w:rsid w:val="00FA6E05"/>
    <w:rsid w:val="00FA6EBF"/>
    <w:rsid w:val="00FB0670"/>
    <w:rsid w:val="00FB0ABD"/>
    <w:rsid w:val="00FB0AEE"/>
    <w:rsid w:val="00FB0F8B"/>
    <w:rsid w:val="00FB1D4A"/>
    <w:rsid w:val="00FB6194"/>
    <w:rsid w:val="00FB6DF3"/>
    <w:rsid w:val="00FB7DB1"/>
    <w:rsid w:val="00FC0D24"/>
    <w:rsid w:val="00FC0FC4"/>
    <w:rsid w:val="00FC11E9"/>
    <w:rsid w:val="00FC1566"/>
    <w:rsid w:val="00FC2DD0"/>
    <w:rsid w:val="00FC2DE4"/>
    <w:rsid w:val="00FC3264"/>
    <w:rsid w:val="00FC3297"/>
    <w:rsid w:val="00FC3C2D"/>
    <w:rsid w:val="00FC4337"/>
    <w:rsid w:val="00FC56C9"/>
    <w:rsid w:val="00FC7939"/>
    <w:rsid w:val="00FD15E8"/>
    <w:rsid w:val="00FD1E6A"/>
    <w:rsid w:val="00FD28C9"/>
    <w:rsid w:val="00FD31E0"/>
    <w:rsid w:val="00FD3466"/>
    <w:rsid w:val="00FD45F8"/>
    <w:rsid w:val="00FD5341"/>
    <w:rsid w:val="00FD5E0A"/>
    <w:rsid w:val="00FD6D5A"/>
    <w:rsid w:val="00FD6E9A"/>
    <w:rsid w:val="00FD7A51"/>
    <w:rsid w:val="00FE0528"/>
    <w:rsid w:val="00FE05F9"/>
    <w:rsid w:val="00FE0BA2"/>
    <w:rsid w:val="00FE0FF6"/>
    <w:rsid w:val="00FE11B2"/>
    <w:rsid w:val="00FE18C1"/>
    <w:rsid w:val="00FE1E63"/>
    <w:rsid w:val="00FE23CE"/>
    <w:rsid w:val="00FE2DEC"/>
    <w:rsid w:val="00FE36B3"/>
    <w:rsid w:val="00FE4827"/>
    <w:rsid w:val="00FE595D"/>
    <w:rsid w:val="00FE6679"/>
    <w:rsid w:val="00FF32FD"/>
    <w:rsid w:val="00FF4619"/>
    <w:rsid w:val="00FF4725"/>
    <w:rsid w:val="00FF5735"/>
    <w:rsid w:val="00FF577E"/>
    <w:rsid w:val="00FF5940"/>
    <w:rsid w:val="00FF6305"/>
    <w:rsid w:val="00FF738E"/>
    <w:rsid w:val="00FF7FD4"/>
    <w:rsid w:val="7FE9E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Theme="maj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eastAsia="宋体" w:hAnsiTheme="majorHAnsi" w:cstheme="minorBidi"/>
      <w:kern w:val="2"/>
      <w:sz w:val="18"/>
      <w:szCs w:val="18"/>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25"/>
    <w:semiHidden/>
    <w:unhideWhenUsed/>
    <w:qFormat/>
    <w:uiPriority w:val="99"/>
    <w:pPr>
      <w:ind w:left="100" w:leftChars="2500"/>
    </w:pPr>
  </w:style>
  <w:style w:type="paragraph" w:styleId="8">
    <w:name w:val="Balloon Text"/>
    <w:basedOn w:val="1"/>
    <w:link w:val="26"/>
    <w:semiHidden/>
    <w:unhideWhenUsed/>
    <w:qFormat/>
    <w:uiPriority w:val="99"/>
  </w:style>
  <w:style w:type="paragraph" w:styleId="9">
    <w:name w:val="footer"/>
    <w:basedOn w:val="1"/>
    <w:link w:val="21"/>
    <w:unhideWhenUsed/>
    <w:qFormat/>
    <w:uiPriority w:val="99"/>
    <w:pPr>
      <w:tabs>
        <w:tab w:val="center" w:pos="4153"/>
        <w:tab w:val="right" w:pos="8306"/>
      </w:tabs>
      <w:snapToGrid w:val="0"/>
      <w:jc w:val="left"/>
    </w:p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style>
  <w:style w:type="paragraph" w:styleId="11">
    <w:name w:val="toc 1"/>
    <w:basedOn w:val="1"/>
    <w:next w:val="1"/>
    <w:unhideWhenUsed/>
    <w:qFormat/>
    <w:uiPriority w:val="39"/>
    <w:pPr>
      <w:tabs>
        <w:tab w:val="right" w:leader="dot" w:pos="8296"/>
      </w:tabs>
    </w:pPr>
    <w:rPr>
      <w:rFonts w:ascii="黑体" w:hAnsi="黑体" w:eastAsia="黑体" w:cs="Times New Roman"/>
      <w:kern w:val="44"/>
      <w:sz w:val="28"/>
      <w:szCs w:val="32"/>
    </w:rPr>
  </w:style>
  <w:style w:type="paragraph" w:styleId="12">
    <w:name w:val="footnote text"/>
    <w:basedOn w:val="1"/>
    <w:link w:val="31"/>
    <w:semiHidden/>
    <w:unhideWhenUsed/>
    <w:qFormat/>
    <w:uiPriority w:val="99"/>
    <w:pPr>
      <w:snapToGrid w:val="0"/>
      <w:jc w:val="left"/>
    </w:pPr>
  </w:style>
  <w:style w:type="paragraph" w:styleId="13">
    <w:name w:val="toc 2"/>
    <w:basedOn w:val="1"/>
    <w:next w:val="1"/>
    <w:unhideWhenUsed/>
    <w:qFormat/>
    <w:uiPriority w:val="39"/>
    <w:pPr>
      <w:ind w:left="420" w:leftChars="200"/>
    </w:pPr>
  </w:style>
  <w:style w:type="paragraph" w:styleId="14">
    <w:name w:val="annotation subject"/>
    <w:basedOn w:val="5"/>
    <w:next w:val="5"/>
    <w:link w:val="30"/>
    <w:semiHidden/>
    <w:unhideWhenUsed/>
    <w:qFormat/>
    <w:uiPriority w:val="99"/>
    <w:rPr>
      <w:b/>
      <w:bCs/>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styleId="19">
    <w:name w:val="footnote reference"/>
    <w:basedOn w:val="16"/>
    <w:semiHidden/>
    <w:unhideWhenUsed/>
    <w:qFormat/>
    <w:uiPriority w:val="99"/>
    <w:rPr>
      <w:vertAlign w:val="superscript"/>
    </w:rPr>
  </w:style>
  <w:style w:type="character" w:customStyle="1" w:styleId="20">
    <w:name w:val="页眉 字符"/>
    <w:basedOn w:val="16"/>
    <w:link w:val="10"/>
    <w:qFormat/>
    <w:uiPriority w:val="99"/>
    <w:rPr>
      <w:sz w:val="18"/>
      <w:szCs w:val="18"/>
    </w:rPr>
  </w:style>
  <w:style w:type="character" w:customStyle="1" w:styleId="21">
    <w:name w:val="页脚 字符"/>
    <w:basedOn w:val="16"/>
    <w:link w:val="9"/>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1 字符"/>
    <w:basedOn w:val="16"/>
    <w:link w:val="2"/>
    <w:qFormat/>
    <w:uiPriority w:val="9"/>
    <w:rPr>
      <w:b/>
      <w:bCs/>
      <w:kern w:val="44"/>
      <w:sz w:val="44"/>
      <w:szCs w:val="44"/>
    </w:r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eastAsiaTheme="majorEastAsia" w:cstheme="majorBidi"/>
      <w:b w:val="0"/>
      <w:bCs w:val="0"/>
      <w:color w:val="2F5597" w:themeColor="accent1" w:themeShade="BF"/>
      <w:kern w:val="0"/>
      <w:sz w:val="32"/>
      <w:szCs w:val="32"/>
    </w:rPr>
  </w:style>
  <w:style w:type="character" w:customStyle="1" w:styleId="25">
    <w:name w:val="日期 字符"/>
    <w:basedOn w:val="16"/>
    <w:link w:val="7"/>
    <w:semiHidden/>
    <w:qFormat/>
    <w:uiPriority w:val="99"/>
  </w:style>
  <w:style w:type="character" w:customStyle="1" w:styleId="26">
    <w:name w:val="批注框文本 字符"/>
    <w:basedOn w:val="16"/>
    <w:link w:val="8"/>
    <w:semiHidden/>
    <w:qFormat/>
    <w:uiPriority w:val="99"/>
    <w:rPr>
      <w:sz w:val="18"/>
      <w:szCs w:val="18"/>
    </w:rPr>
  </w:style>
  <w:style w:type="character" w:customStyle="1" w:styleId="27">
    <w:name w:val="标题 2 字符"/>
    <w:basedOn w:val="16"/>
    <w:link w:val="3"/>
    <w:semiHidden/>
    <w:qFormat/>
    <w:uiPriority w:val="9"/>
    <w:rPr>
      <w:rFonts w:asciiTheme="majorHAnsi" w:hAnsiTheme="majorHAnsi" w:eastAsiaTheme="majorEastAsia" w:cstheme="majorBidi"/>
      <w:b/>
      <w:bCs/>
      <w:sz w:val="32"/>
      <w:szCs w:val="32"/>
    </w:rPr>
  </w:style>
  <w:style w:type="character" w:customStyle="1" w:styleId="28">
    <w:name w:val="标题 3 字符"/>
    <w:basedOn w:val="16"/>
    <w:link w:val="4"/>
    <w:qFormat/>
    <w:uiPriority w:val="9"/>
    <w:rPr>
      <w:b/>
      <w:bCs/>
      <w:sz w:val="32"/>
      <w:szCs w:val="32"/>
    </w:rPr>
  </w:style>
  <w:style w:type="character" w:customStyle="1" w:styleId="29">
    <w:name w:val="批注文字 字符"/>
    <w:basedOn w:val="16"/>
    <w:link w:val="5"/>
    <w:semiHidden/>
    <w:qFormat/>
    <w:uiPriority w:val="99"/>
  </w:style>
  <w:style w:type="character" w:customStyle="1" w:styleId="30">
    <w:name w:val="批注主题 字符"/>
    <w:basedOn w:val="29"/>
    <w:link w:val="14"/>
    <w:semiHidden/>
    <w:qFormat/>
    <w:uiPriority w:val="99"/>
    <w:rPr>
      <w:b/>
      <w:bCs/>
    </w:rPr>
  </w:style>
  <w:style w:type="character" w:customStyle="1" w:styleId="31">
    <w:name w:val="脚注文本 字符"/>
    <w:basedOn w:val="16"/>
    <w:link w:val="1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1487</Words>
  <Characters>8480</Characters>
  <Lines>70</Lines>
  <Paragraphs>19</Paragraphs>
  <TotalTime>2658</TotalTime>
  <ScaleCrop>false</ScaleCrop>
  <LinksUpToDate>false</LinksUpToDate>
  <CharactersWithSpaces>9948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2023-10-15T10:57:00Z</dcterms:created>
  <dc:creator>支钰明</dc:creator>
  <cp:lastModifiedBy>greatwall</cp:lastModifiedBy>
  <cp:lastPrinted>2022-07-20T21:20:00Z</cp:lastPrinted>
  <dcterms:modified xsi:type="dcterms:W3CDTF">2023-11-20T09:00:40Z</dcterms:modified>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