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</w:pPr>
      <w:bookmarkStart w:id="0" w:name="_Toc24724711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四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）财政预决算领域基层政务公开标准目录</w:t>
      </w:r>
      <w:bookmarkEnd w:id="0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（试行）</w:t>
      </w:r>
    </w:p>
    <w:tbl>
      <w:tblPr>
        <w:tblStyle w:val="3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3240"/>
        <w:gridCol w:w="1800"/>
        <w:gridCol w:w="1620"/>
        <w:gridCol w:w="900"/>
        <w:gridCol w:w="180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2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  <w:t>区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  <w:t>镇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、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  <w:t>街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青光镇人民政府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青光镇人民政府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对财政转移支付安排、举借政府债务等重要事项进行解释、说明，并公开重大政策和重点项目等绩效目标。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、“公务接待费”分项数额，并对增减变化情况进行说明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政府债务限额、余额、使用安排及还本付息等信息，包括：①随同预算公开上一年度本地区、本级及所属地区地方政府债务限额及余额（或余额预计执行数），以及本地区和本级上一年度地方政府债券（含再融资债券）发行及还本付息额（或预计执行数）、本年度地方政府债券还本付息预算数等；②随同调整预算公开当年本地区及本级地方政府债务限额、本级新增地方政府债券资金使用安排等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青光镇人民政府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青光镇人民政府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对财政转移支付安排、举借政府债务、预算绩效工作开展情况等重要事项进行解释、说明，并公开重大政策和重点项目绩效执行结果。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青光镇人民政府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“公务接待费”分项数额，并对增减变化情况（与预算对比）进行说明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地方政府债务限额、余额、使用安排及还本付息等信息，包括：上年末本地区、本级及所属地区地方政府债务限额、余额决算数，地方政府债券发行、还本付息决算数，以及债券资金使用安排等。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预算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青光镇人民政府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项目预算的绩效目标等情况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青光镇人民政府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青光镇人民政府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注：本目录随着政策和情况变化进行动态调整。</w:t>
      </w:r>
    </w:p>
    <w:p>
      <w:pPr>
        <w:jc w:val="center"/>
        <w:rPr>
          <w:rFonts w:ascii="Times New Roman" w:hAnsi="Times New Roman" w:eastAsia="方正小标宋_GBK"/>
          <w:color w:val="FF0000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6D5B6E"/>
    <w:rsid w:val="366341F6"/>
    <w:rsid w:val="3EAB0813"/>
    <w:rsid w:val="3EE75A1C"/>
    <w:rsid w:val="514F5B7B"/>
    <w:rsid w:val="641A2BF4"/>
    <w:rsid w:val="6B3C1F14"/>
    <w:rsid w:val="6FB7FEFF"/>
    <w:rsid w:val="7FEF7071"/>
    <w:rsid w:val="E9B73B6D"/>
    <w:rsid w:val="FEF726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WPS_1508140842</cp:lastModifiedBy>
  <dcterms:modified xsi:type="dcterms:W3CDTF">2020-12-28T07:20:08Z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