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0"/>
        </w:rPr>
      </w:pPr>
      <w:bookmarkStart w:id="0" w:name="_Toc24724726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lang w:eastAsia="zh-CN"/>
        </w:rPr>
        <w:t>七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lang w:eastAsia="zh-CN"/>
        </w:rPr>
        <w:t>宜兴埠镇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</w:rPr>
        <w:t>公共文化服务领域基层政务公开标准目录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</w:rPr>
        <w:t>（试行）</w:t>
      </w:r>
    </w:p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tbl>
      <w:tblPr>
        <w:tblStyle w:val="5"/>
        <w:tblW w:w="15660" w:type="dxa"/>
        <w:tblInd w:w="-8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080"/>
        <w:gridCol w:w="2700"/>
        <w:gridCol w:w="1968"/>
        <w:gridCol w:w="2160"/>
        <w:gridCol w:w="1092"/>
        <w:gridCol w:w="1496"/>
        <w:gridCol w:w="540"/>
        <w:gridCol w:w="720"/>
        <w:gridCol w:w="540"/>
        <w:gridCol w:w="720"/>
        <w:gridCol w:w="540"/>
        <w:gridCol w:w="6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区级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镇、街级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公共文化机构免费开放信息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机构名称；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开放时间；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机构地址；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联系电话；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临时停止开放信息。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《公共文化服务保障法》《政府信息公开条例》《文化部·财政部关于推进全国美术馆、公共图书馆、文化馆（站）免费开放工作的意见》《文化部·财政部关于做好城市社区（街道）文化中心免费开放工作的通知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宜兴埠镇人民政府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400FD"/>
    <w:multiLevelType w:val="multilevel"/>
    <w:tmpl w:val="428400F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6C57490"/>
    <w:rsid w:val="00080734"/>
    <w:rsid w:val="00140E78"/>
    <w:rsid w:val="00AF05DE"/>
    <w:rsid w:val="00C318BB"/>
    <w:rsid w:val="00D42D93"/>
    <w:rsid w:val="00EE32FA"/>
    <w:rsid w:val="00F82A9B"/>
    <w:rsid w:val="172C1AD8"/>
    <w:rsid w:val="1AFB27A7"/>
    <w:rsid w:val="2FA70A6A"/>
    <w:rsid w:val="3ADA3B40"/>
    <w:rsid w:val="76C57490"/>
    <w:rsid w:val="7B1D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eastAsia="宋体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eastAsia="宋体"/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280</Characters>
  <Lines>2</Lines>
  <Paragraphs>1</Paragraphs>
  <TotalTime>10</TotalTime>
  <ScaleCrop>false</ScaleCrop>
  <LinksUpToDate>false</LinksUpToDate>
  <CharactersWithSpaces>328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2020-12-25T08:04:00Z</dcterms:created>
  <dc:creator>Administrator</dc:creator>
  <cp:lastModifiedBy>lenovo</cp:lastModifiedBy>
  <dcterms:modified xsi:type="dcterms:W3CDTF">2020-12-29T08:01:24Z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