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center"/>
        <w:rPr>
          <w:rFonts w:ascii="方正小标宋简体" w:hAnsi="Calibri" w:eastAsia="方正小标宋简体" w:cs="黑体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天津市北辰区财政局关于下达2021年天津市中小企业发展专项资金预算（2020年度第二批小微企业融资担保降费奖补资金）的通知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辰财政指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工业和信息化局 市财政局关于下达2021年支持“专精特新”中小企业高质量发展中央奖补资金计划的通知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》(津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工信中小企服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2021-09-30T09:39:00Z</dcterms:created>
  <dc:creator>greatwall</dc:creator>
  <cp:lastModifiedBy>liu</cp:lastModifiedBy>
  <dcterms:modified xsi:type="dcterms:W3CDTF">2021-09-30T09:56:07Z</dcterms:modified>
  <dc:title>1.《天津市北辰区财政局关于下达2021年天津市中小企业发展专项资金预算（2020年度第二批小微企业融资担保降费奖补资金）的通知》（津辰财政指〔20211〕29号）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