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FE" w:rsidRDefault="005A70FE">
      <w:pPr>
        <w:ind w:firstLineChars="49" w:firstLine="354"/>
        <w:jc w:val="distribute"/>
        <w:rPr>
          <w:rFonts w:ascii="宋体" w:eastAsia="宋体" w:hAnsi="宋体" w:cs="Times New Roman"/>
          <w:b/>
          <w:color w:val="FF0000"/>
          <w:sz w:val="72"/>
          <w:szCs w:val="72"/>
        </w:rPr>
      </w:pPr>
    </w:p>
    <w:p w:rsidR="005A70FE" w:rsidRDefault="00D06BF1">
      <w:pPr>
        <w:ind w:firstLineChars="49" w:firstLine="354"/>
        <w:jc w:val="distribute"/>
        <w:rPr>
          <w:rFonts w:ascii="宋体" w:eastAsia="宋体" w:hAnsi="宋体" w:cs="Times New Roman"/>
          <w:b/>
          <w:color w:val="FF0000"/>
          <w:sz w:val="72"/>
          <w:szCs w:val="72"/>
        </w:rPr>
      </w:pPr>
      <w:r>
        <w:rPr>
          <w:rFonts w:ascii="宋体" w:eastAsia="宋体" w:hAnsi="宋体" w:cs="Times New Roman" w:hint="eastAsia"/>
          <w:b/>
          <w:color w:val="FF0000"/>
          <w:sz w:val="72"/>
          <w:szCs w:val="72"/>
        </w:rPr>
        <w:t>天津市北辰区教育局</w:t>
      </w:r>
    </w:p>
    <w:p w:rsidR="005A70FE" w:rsidRDefault="005A70FE">
      <w:pPr>
        <w:spacing w:line="600" w:lineRule="exact"/>
        <w:jc w:val="center"/>
        <w:rPr>
          <w:rFonts w:ascii="楷体_GB2312" w:eastAsia="楷体_GB2312" w:hAnsi="楷体_GB2312" w:cs="楷体_GB2312"/>
          <w:color w:val="000000"/>
          <w:kern w:val="20"/>
          <w:sz w:val="34"/>
          <w:szCs w:val="34"/>
        </w:rPr>
      </w:pPr>
    </w:p>
    <w:p w:rsidR="005A70FE" w:rsidRDefault="00D06BF1">
      <w:pPr>
        <w:spacing w:line="600" w:lineRule="exact"/>
        <w:jc w:val="center"/>
        <w:rPr>
          <w:rFonts w:ascii="楷体_GB2312" w:eastAsia="楷体_GB2312" w:hAnsi="楷体_GB2312" w:cs="楷体_GB2312"/>
          <w:color w:val="000000"/>
          <w:kern w:val="20"/>
          <w:sz w:val="34"/>
          <w:szCs w:val="34"/>
        </w:rPr>
      </w:pPr>
      <w:r>
        <w:rPr>
          <w:rFonts w:ascii="仿宋_GB2312" w:eastAsia="仿宋_GB2312" w:hAnsi="仿宋_GB2312" w:cs="仿宋_GB2312"/>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150495</wp:posOffset>
                </wp:positionV>
                <wp:extent cx="5705475" cy="28575"/>
                <wp:effectExtent l="0" t="13970" r="9525" b="14605"/>
                <wp:wrapNone/>
                <wp:docPr id="2" name="直接箭头连接符 2"/>
                <wp:cNvGraphicFramePr/>
                <a:graphic xmlns:a="http://schemas.openxmlformats.org/drawingml/2006/main">
                  <a:graphicData uri="http://schemas.microsoft.com/office/word/2010/wordprocessingShape">
                    <wps:wsp>
                      <wps:cNvCnPr/>
                      <wps:spPr>
                        <a:xfrm>
                          <a:off x="0" y="0"/>
                          <a:ext cx="5705475" cy="28575"/>
                        </a:xfrm>
                        <a:prstGeom prst="straightConnector1">
                          <a:avLst/>
                        </a:prstGeom>
                        <a:ln w="28575" cap="flat" cmpd="sng">
                          <a:solidFill>
                            <a:srgbClr val="FF0000"/>
                          </a:solidFill>
                          <a:prstDash val="solid"/>
                          <a:headEnd type="none" w="med" len="med"/>
                          <a:tailEnd type="none" w="med" len="med"/>
                        </a:ln>
                        <a:effectLst/>
                      </wps:spPr>
                      <wps:bodyPr/>
                    </wps:wsp>
                  </a:graphicData>
                </a:graphic>
              </wp:anchor>
            </w:drawing>
          </mc:Choice>
          <mc:Fallback>
            <w:pict>
              <v:shapetype w14:anchorId="40A2820C" id="_x0000_t32" coordsize="21600,21600" o:spt="32" o:oned="t" path="m,l21600,21600e" filled="f">
                <v:path arrowok="t" fillok="f" o:connecttype="none"/>
                <o:lock v:ext="edit" shapetype="t"/>
              </v:shapetype>
              <v:shape id="直接箭头连接符 2" o:spid="_x0000_s1026" type="#_x0000_t32" style="position:absolute;left:0;text-align:left;margin-left:1.6pt;margin-top:11.85pt;width:449.25pt;height:2.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" strokecolor="red" strokeweight="2.25pt"/>
            </w:pict>
          </mc:Fallback>
        </mc:AlternateContent>
      </w:r>
    </w:p>
    <w:p w:rsidR="007C4DA2" w:rsidRDefault="00D06BF1">
      <w:pPr>
        <w:adjustRightInd w:val="0"/>
        <w:snapToGrid w:val="0"/>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 xml:space="preserve"> 202</w:t>
      </w:r>
      <w:r w:rsidR="007C4DA2">
        <w:rPr>
          <w:rFonts w:ascii="方正小标宋简体" w:eastAsia="方正小标宋简体"/>
          <w:sz w:val="44"/>
          <w:szCs w:val="44"/>
          <w:lang w:val="en"/>
        </w:rPr>
        <w:t>0</w:t>
      </w:r>
      <w:r w:rsidR="007C4DA2">
        <w:rPr>
          <w:rFonts w:ascii="方正小标宋简体" w:eastAsia="方正小标宋简体" w:hint="eastAsia"/>
          <w:sz w:val="44"/>
          <w:szCs w:val="44"/>
          <w:lang w:val="en"/>
        </w:rPr>
        <w:t>-</w:t>
      </w:r>
      <w:r w:rsidR="007C4DA2">
        <w:rPr>
          <w:rFonts w:ascii="方正小标宋简体" w:eastAsia="方正小标宋简体"/>
          <w:sz w:val="44"/>
          <w:szCs w:val="44"/>
          <w:lang w:val="en"/>
        </w:rPr>
        <w:t>2021</w:t>
      </w:r>
      <w:r>
        <w:rPr>
          <w:rFonts w:ascii="方正小标宋简体" w:eastAsia="方正小标宋简体" w:hint="eastAsia"/>
          <w:sz w:val="44"/>
          <w:szCs w:val="44"/>
        </w:rPr>
        <w:t>年北辰区教育局艺术教育工作</w:t>
      </w:r>
    </w:p>
    <w:p w:rsidR="005A70FE" w:rsidRDefault="00D06BF1">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年度报告</w:t>
      </w:r>
    </w:p>
    <w:p w:rsidR="005A70FE" w:rsidRDefault="005A70FE">
      <w:pPr>
        <w:spacing w:line="600" w:lineRule="exact"/>
        <w:rPr>
          <w:rFonts w:ascii="方正大标宋简体" w:eastAsia="方正大标宋简体" w:hAnsi="宋体" w:cs="宋体"/>
          <w:b/>
          <w:bCs/>
          <w:color w:val="000000"/>
          <w:kern w:val="20"/>
          <w:sz w:val="32"/>
          <w:szCs w:val="32"/>
        </w:rPr>
      </w:pPr>
    </w:p>
    <w:p w:rsidR="005A70FE" w:rsidRDefault="00D06BF1">
      <w:pPr>
        <w:spacing w:line="600" w:lineRule="exact"/>
        <w:ind w:firstLine="642"/>
        <w:rPr>
          <w:rFonts w:ascii="仿宋_GB2312" w:eastAsia="仿宋_GB2312" w:hAnsi="仿宋_GB2312" w:cs="仿宋_GB2312"/>
          <w:sz w:val="34"/>
          <w:szCs w:val="34"/>
        </w:rPr>
      </w:pPr>
      <w:r>
        <w:rPr>
          <w:rFonts w:ascii="仿宋_GB2312" w:eastAsia="仿宋_GB2312" w:hAnsi="仿宋_GB2312" w:cs="仿宋_GB2312" w:hint="eastAsia"/>
          <w:sz w:val="34"/>
          <w:szCs w:val="34"/>
        </w:rPr>
        <w:t>学校艺术教育是实施美育的最主要的途径和内容。艺术教育能够培养学生感受美、表现美、鉴赏美、创造美的能力，引领学生树立正确的审美观念，陶冶高尚的道德情操，培养深厚的民族情感，激发想象力和创新意识，促进学生的全面发展和健康成长。为深入贯彻落实教育部《关于加强和改进新时代学校美育工作的实施意见》、《中小学生艺术素质测评办法》、《学校艺术教育工作规程》等文件精神，全面贯彻党的教育方针，实施素质教育，改进美育教学，提高学生审美和人文素养，我区十分重视学校艺术教育工作，以发展学生的艺术特长为平台，取得较好的教育效果。现将我区中小学202</w:t>
      </w:r>
      <w:r>
        <w:rPr>
          <w:rFonts w:ascii="仿宋_GB2312" w:eastAsia="仿宋_GB2312" w:hAnsi="仿宋_GB2312" w:cs="仿宋_GB2312"/>
          <w:sz w:val="34"/>
          <w:szCs w:val="34"/>
          <w:lang w:val="en"/>
        </w:rPr>
        <w:t>1</w:t>
      </w:r>
      <w:r>
        <w:rPr>
          <w:rFonts w:ascii="仿宋_GB2312" w:eastAsia="仿宋_GB2312" w:hAnsi="仿宋_GB2312" w:cs="仿宋_GB2312" w:hint="eastAsia"/>
          <w:sz w:val="34"/>
          <w:szCs w:val="34"/>
        </w:rPr>
        <w:t>年艺术教育发展情况报告如下：</w:t>
      </w:r>
    </w:p>
    <w:p w:rsidR="005A70FE" w:rsidRDefault="00D06BF1">
      <w:pPr>
        <w:numPr>
          <w:ilvl w:val="0"/>
          <w:numId w:val="1"/>
        </w:numPr>
        <w:spacing w:line="600" w:lineRule="exact"/>
        <w:ind w:firstLineChars="200" w:firstLine="680"/>
        <w:rPr>
          <w:rFonts w:ascii="黑体" w:eastAsia="黑体" w:hAnsi="黑体" w:cs="黑体"/>
          <w:sz w:val="34"/>
          <w:szCs w:val="34"/>
        </w:rPr>
      </w:pPr>
      <w:r>
        <w:rPr>
          <w:rFonts w:ascii="黑体" w:eastAsia="黑体" w:hAnsi="黑体" w:cs="黑体" w:hint="eastAsia"/>
          <w:sz w:val="34"/>
          <w:szCs w:val="34"/>
        </w:rPr>
        <w:t>学校艺术教育总体情况</w:t>
      </w:r>
    </w:p>
    <w:p w:rsidR="005A70FE" w:rsidRDefault="00D06BF1">
      <w:pPr>
        <w:numPr>
          <w:ilvl w:val="0"/>
          <w:numId w:val="2"/>
        </w:numPr>
        <w:adjustRightInd w:val="0"/>
        <w:snapToGrid w:val="0"/>
        <w:spacing w:line="600" w:lineRule="exact"/>
        <w:ind w:firstLineChars="200" w:firstLine="680"/>
        <w:rPr>
          <w:rFonts w:ascii="楷体_GB2312" w:eastAsia="楷体_GB2312" w:hAnsi="楷体_GB2312" w:cs="楷体_GB2312"/>
          <w:color w:val="000000"/>
          <w:kern w:val="20"/>
          <w:sz w:val="34"/>
          <w:szCs w:val="34"/>
          <w:lang w:val="en"/>
        </w:rPr>
      </w:pPr>
      <w:r>
        <w:rPr>
          <w:rFonts w:ascii="楷体_GB2312" w:eastAsia="楷体_GB2312" w:hAnsi="楷体_GB2312" w:cs="楷体_GB2312" w:hint="eastAsia"/>
          <w:color w:val="000000"/>
          <w:kern w:val="20"/>
          <w:sz w:val="34"/>
          <w:szCs w:val="34"/>
        </w:rPr>
        <w:t>艺术课程建设情况</w:t>
      </w:r>
      <w:r>
        <w:rPr>
          <w:rFonts w:ascii="楷体_GB2312" w:eastAsia="楷体_GB2312" w:hAnsi="楷体_GB2312" w:cs="楷体_GB2312"/>
          <w:color w:val="000000"/>
          <w:kern w:val="20"/>
          <w:sz w:val="34"/>
          <w:szCs w:val="34"/>
          <w:lang w:val="en"/>
        </w:rPr>
        <w:t xml:space="preserve"> </w:t>
      </w:r>
    </w:p>
    <w:p w:rsidR="005A70FE" w:rsidRDefault="00D06BF1">
      <w:pPr>
        <w:adjustRightInd w:val="0"/>
        <w:snapToGrid w:val="0"/>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lastRenderedPageBreak/>
        <w:t>全区64所中小学全部开齐开足音乐、美术、书法、舞蹈、戏曲等艺术课程，我们每年组织教研员到学校检查美育课程，全区学校合格率达到100%。将全区艺术教育课程安排表上报市教委审核，接受市教委督导检查评估，2021年度艺术教育课程建设情况达到市教委相关标准。</w:t>
      </w:r>
    </w:p>
    <w:p w:rsidR="005A70FE" w:rsidRDefault="00D06BF1">
      <w:pPr>
        <w:spacing w:line="600" w:lineRule="exact"/>
        <w:ind w:firstLineChars="200" w:firstLine="680"/>
        <w:rPr>
          <w:rFonts w:ascii="仿宋_GB2312" w:eastAsia="仿宋_GB2312" w:hAnsi="仿宋_GB2312" w:cs="仿宋_GB2312"/>
          <w:sz w:val="34"/>
          <w:szCs w:val="34"/>
        </w:rPr>
      </w:pPr>
      <w:r>
        <w:rPr>
          <w:rFonts w:ascii="楷体_GB2312" w:eastAsia="楷体_GB2312" w:hAnsi="楷体_GB2312" w:cs="楷体_GB2312" w:hint="eastAsia"/>
          <w:sz w:val="34"/>
          <w:szCs w:val="34"/>
        </w:rPr>
        <w:t>2.艺术教师配备情况</w:t>
      </w:r>
    </w:p>
    <w:p w:rsidR="005A70FE" w:rsidRDefault="00D06BF1">
      <w:pPr>
        <w:adjustRightInd w:val="0"/>
        <w:snapToGrid w:val="0"/>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全区音乐专职教师174人，兼职教师48人；美术专职教师119人，兼职教师65人；艺术教育师生比130:1，不存在艺术教师缺额情况。</w:t>
      </w:r>
    </w:p>
    <w:p w:rsidR="005A70FE" w:rsidRDefault="00D06BF1">
      <w:pPr>
        <w:spacing w:line="600" w:lineRule="exact"/>
        <w:ind w:firstLineChars="200" w:firstLine="680"/>
        <w:rPr>
          <w:rFonts w:ascii="楷体_GB2312" w:eastAsia="楷体_GB2312" w:hAnsi="楷体_GB2312" w:cs="楷体_GB2312"/>
          <w:sz w:val="34"/>
          <w:szCs w:val="34"/>
        </w:rPr>
      </w:pPr>
      <w:r>
        <w:rPr>
          <w:rFonts w:ascii="楷体_GB2312" w:eastAsia="楷体_GB2312" w:hAnsi="楷体_GB2312" w:cs="楷体_GB2312" w:hint="eastAsia"/>
          <w:sz w:val="34"/>
          <w:szCs w:val="34"/>
        </w:rPr>
        <w:t>3.艺术教育管理、体制机制建设情况</w:t>
      </w:r>
    </w:p>
    <w:p w:rsidR="005A70FE" w:rsidRDefault="00D06BF1">
      <w:pPr>
        <w:spacing w:line="600" w:lineRule="exact"/>
        <w:ind w:firstLine="645"/>
        <w:rPr>
          <w:rFonts w:ascii="仿宋_GB2312" w:eastAsia="仿宋_GB2312" w:hAnsi="仿宋_GB2312" w:cs="仿宋_GB2312"/>
          <w:color w:val="FF0000"/>
          <w:sz w:val="34"/>
          <w:szCs w:val="34"/>
        </w:rPr>
      </w:pPr>
      <w:r>
        <w:rPr>
          <w:rFonts w:ascii="仿宋_GB2312" w:eastAsia="仿宋_GB2312" w:hAnsi="仿宋_GB2312" w:cs="仿宋_GB2312" w:hint="eastAsia"/>
          <w:sz w:val="34"/>
          <w:szCs w:val="34"/>
        </w:rPr>
        <w:t>我区鼓励并支持各校积极参加全国、市、区教研培训，提高教师专业能力。以开阔眼界，提高水平，促进发展的理念，组织骨干教师外出学访、回来后举办研究性的展览、汇演等活动。强化了教师业务能力，提高了教师的创造性。本年度艺术教育参加区级以上培训274人，其中158人受到区级以上表彰。</w:t>
      </w:r>
    </w:p>
    <w:p w:rsidR="005A70FE" w:rsidRDefault="00D06BF1">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kern w:val="20"/>
          <w:sz w:val="34"/>
          <w:szCs w:val="34"/>
        </w:rPr>
        <w:t>为了更好地推进音乐、美术课程教学改革，促进学校艺术教育的深入开展，提高音乐、美术教师的教育理念、执教能力和业务素质，为全区中小学音乐、美术教师搭建相互交流、相互促进、展示才华的平台。</w:t>
      </w:r>
      <w:r>
        <w:rPr>
          <w:rFonts w:ascii="仿宋_GB2312" w:eastAsia="仿宋_GB2312" w:hAnsi="仿宋_GB2312" w:cs="仿宋_GB2312" w:hint="eastAsia"/>
          <w:sz w:val="34"/>
          <w:szCs w:val="34"/>
        </w:rPr>
        <w:t>利用《北辰区艺术教师业务测评制度》 ，对全区艺术教师每三年进行一次教师业务测评。测评由两部分组成，分别是业务理论知识和教学基本功</w:t>
      </w:r>
      <w:r>
        <w:rPr>
          <w:rFonts w:ascii="仿宋_GB2312" w:eastAsia="仿宋_GB2312" w:hAnsi="仿宋_GB2312" w:cs="仿宋_GB2312" w:hint="eastAsia"/>
          <w:sz w:val="34"/>
          <w:szCs w:val="34"/>
        </w:rPr>
        <w:lastRenderedPageBreak/>
        <w:t>考核技能。以评价促进艺术教师发展，提高了教师的艺术教育教学水平。</w:t>
      </w:r>
    </w:p>
    <w:p w:rsidR="005A70FE" w:rsidRDefault="00D06BF1">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根据年度艺术工作的具体情况修改《北辰区学校办学水平千分制考核》中的艺术考核细则，利用好学校办学水平考核的杠杆，撬动学校艺术教育的发展。</w:t>
      </w:r>
    </w:p>
    <w:p w:rsidR="005A70FE" w:rsidRDefault="00D06BF1">
      <w:pPr>
        <w:spacing w:line="600" w:lineRule="exact"/>
        <w:ind w:firstLineChars="200" w:firstLine="680"/>
        <w:rPr>
          <w:rFonts w:ascii="楷体_GB2312" w:eastAsia="楷体_GB2312" w:hAnsi="楷体_GB2312" w:cs="楷体_GB2312"/>
          <w:sz w:val="34"/>
          <w:szCs w:val="34"/>
        </w:rPr>
      </w:pPr>
      <w:r>
        <w:rPr>
          <w:rFonts w:ascii="楷体_GB2312" w:eastAsia="楷体_GB2312" w:hAnsi="楷体_GB2312" w:cs="楷体_GB2312" w:hint="eastAsia"/>
          <w:sz w:val="34"/>
          <w:szCs w:val="34"/>
        </w:rPr>
        <w:t>4.艺术教育经费投入和设施设备配备情况</w:t>
      </w:r>
    </w:p>
    <w:p w:rsidR="005A70FE" w:rsidRDefault="00D06BF1">
      <w:pPr>
        <w:adjustRightInd w:val="0"/>
        <w:snapToGrid w:val="0"/>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在艺术教育经费上，2021年1月至8月，全区艺术教育经费支出总额达到364.64万，其中艺术教育场地经费支出达到94.5万元，艺术教育专用器材经费支出126.8万元，艺术工作经费支出143.34万元。在场地设施上，64所学校艺术课程教学和艺术活动器材全部达标。各学校音乐专用教室（活动室）达到126个，美术专用教室（活动室）达到114个，其他艺术专用教室（活动室）80个；艺术</w:t>
      </w:r>
      <w:proofErr w:type="gramStart"/>
      <w:r>
        <w:rPr>
          <w:rFonts w:ascii="仿宋_GB2312" w:eastAsia="仿宋_GB2312" w:hAnsi="仿宋_GB2312" w:cs="仿宋_GB2312" w:hint="eastAsia"/>
          <w:sz w:val="34"/>
          <w:szCs w:val="34"/>
        </w:rPr>
        <w:t>场馆数</w:t>
      </w:r>
      <w:proofErr w:type="gramEnd"/>
      <w:r>
        <w:rPr>
          <w:rFonts w:ascii="仿宋_GB2312" w:eastAsia="仿宋_GB2312" w:hAnsi="仿宋_GB2312" w:cs="仿宋_GB2312" w:hint="eastAsia"/>
          <w:sz w:val="34"/>
          <w:szCs w:val="34"/>
        </w:rPr>
        <w:t>31个，总面积达到10515平米。</w:t>
      </w:r>
    </w:p>
    <w:p w:rsidR="005A70FE" w:rsidRDefault="00D06BF1">
      <w:pPr>
        <w:spacing w:line="600" w:lineRule="exact"/>
        <w:ind w:firstLineChars="200" w:firstLine="680"/>
        <w:rPr>
          <w:rFonts w:ascii="楷体_GB2312" w:eastAsia="楷体_GB2312" w:hAnsi="楷体_GB2312" w:cs="楷体_GB2312"/>
          <w:sz w:val="34"/>
          <w:szCs w:val="34"/>
        </w:rPr>
      </w:pPr>
      <w:r>
        <w:rPr>
          <w:rFonts w:ascii="楷体_GB2312" w:eastAsia="楷体_GB2312" w:hAnsi="楷体_GB2312" w:cs="楷体_GB2312" w:hint="eastAsia"/>
          <w:sz w:val="34"/>
          <w:szCs w:val="34"/>
        </w:rPr>
        <w:t>5.课外艺术活动开展情况</w:t>
      </w:r>
    </w:p>
    <w:p w:rsidR="005A70FE" w:rsidRDefault="00D06BF1">
      <w:pPr>
        <w:adjustRightInd w:val="0"/>
        <w:snapToGrid w:val="0"/>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全区学校开展艺术节等活动184场次，其中小学126场，初中20场，高中8场，九年一贯制学校13场，12年一贯制学校4场，完全中学4场，中职学校9场。全区校级学生艺术社团（兴趣小组）数达到1040个，其中小学772个，初中96个，高中37个，九年一贯制学校64个，十二年一贯学校35个，完全中学14个，中职学校22个。全区学校全部建立艺术社团或艺术活动小组，确保每一名学生至少参加一项艺</w:t>
      </w:r>
      <w:r>
        <w:rPr>
          <w:rFonts w:ascii="仿宋_GB2312" w:eastAsia="仿宋_GB2312" w:hAnsi="仿宋_GB2312" w:cs="仿宋_GB2312" w:hint="eastAsia"/>
          <w:sz w:val="34"/>
          <w:szCs w:val="34"/>
        </w:rPr>
        <w:lastRenderedPageBreak/>
        <w:t>术活动，满足了每一名学生的艺术发展需求，拓宽了学校艺术教育培训发展空间，为学生创设和搭建了展示才华的舞台，全面提升了全区艺术教育发展水平，让每个学生都享受到美的熏陶。</w:t>
      </w:r>
    </w:p>
    <w:p w:rsidR="005A70FE" w:rsidRDefault="00D06BF1">
      <w:pPr>
        <w:spacing w:line="600" w:lineRule="exact"/>
        <w:ind w:firstLineChars="200" w:firstLine="680"/>
        <w:rPr>
          <w:rFonts w:ascii="楷体_GB2312" w:eastAsia="楷体_GB2312" w:hAnsi="楷体_GB2312" w:cs="楷体_GB2312"/>
          <w:sz w:val="34"/>
          <w:szCs w:val="34"/>
        </w:rPr>
      </w:pPr>
      <w:r>
        <w:rPr>
          <w:rFonts w:ascii="楷体_GB2312" w:eastAsia="楷体_GB2312" w:hAnsi="楷体_GB2312" w:cs="楷体_GB2312" w:hint="eastAsia"/>
          <w:sz w:val="34"/>
          <w:szCs w:val="34"/>
        </w:rPr>
        <w:t>6.校园文化艺术环境情况</w:t>
      </w:r>
    </w:p>
    <w:p w:rsidR="005A70FE" w:rsidRDefault="00D06BF1">
      <w:pPr>
        <w:spacing w:line="600" w:lineRule="exact"/>
        <w:ind w:firstLineChars="200" w:firstLine="680"/>
        <w:rPr>
          <w:rFonts w:ascii="仿宋_GB2312" w:eastAsia="仿宋_GB2312" w:hAnsi="仿宋_GB2312" w:cs="仿宋_GB2312"/>
          <w:color w:val="000000"/>
          <w:kern w:val="20"/>
          <w:sz w:val="34"/>
          <w:szCs w:val="34"/>
        </w:rPr>
      </w:pPr>
      <w:r>
        <w:rPr>
          <w:rFonts w:ascii="仿宋_GB2312" w:eastAsia="仿宋_GB2312" w:hAnsi="仿宋_GB2312" w:cs="仿宋_GB2312" w:hint="eastAsia"/>
          <w:color w:val="000000"/>
          <w:kern w:val="20"/>
          <w:sz w:val="34"/>
          <w:szCs w:val="34"/>
        </w:rPr>
        <w:t>教育局领导决策政策环境，推进学校艺术教育面向全体学生、分类指导、因地制宜、讲求实效的理念。教育局成立了以主管局长为组长，德育艺</w:t>
      </w:r>
      <w:proofErr w:type="gramStart"/>
      <w:r>
        <w:rPr>
          <w:rFonts w:ascii="仿宋_GB2312" w:eastAsia="仿宋_GB2312" w:hAnsi="仿宋_GB2312" w:cs="仿宋_GB2312" w:hint="eastAsia"/>
          <w:color w:val="000000"/>
          <w:kern w:val="20"/>
          <w:sz w:val="34"/>
          <w:szCs w:val="34"/>
        </w:rPr>
        <w:t>科相关</w:t>
      </w:r>
      <w:proofErr w:type="gramEnd"/>
      <w:r>
        <w:rPr>
          <w:rFonts w:ascii="仿宋_GB2312" w:eastAsia="仿宋_GB2312" w:hAnsi="仿宋_GB2312" w:cs="仿宋_GB2312" w:hint="eastAsia"/>
          <w:color w:val="000000"/>
          <w:kern w:val="20"/>
          <w:sz w:val="34"/>
          <w:szCs w:val="34"/>
        </w:rPr>
        <w:t>责任同志为成员的校园艺术活动领导小组，组织制定活动方案，召开专题工作会议。各级艺术节期间，局主管领导亲自到场认真听取各项准备工作进展情况，并带领各职能部门为艺术活动的成功举办做了大量深入细致的工作。</w:t>
      </w:r>
    </w:p>
    <w:p w:rsidR="005A70FE" w:rsidRDefault="00D06BF1">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各校举措，塑校园文化艺术环境。各校</w:t>
      </w:r>
      <w:r>
        <w:rPr>
          <w:rFonts w:ascii="仿宋_GB2312" w:eastAsia="仿宋_GB2312" w:hAnsi="仿宋_GB2312" w:cs="仿宋_GB2312" w:hint="eastAsia"/>
          <w:kern w:val="20"/>
          <w:sz w:val="34"/>
          <w:szCs w:val="34"/>
        </w:rPr>
        <w:t>建立艺术社团或艺术活动小组，每一个学生至少要参加一项艺术活动。艺术社团的建立，有利于学生的发展，有利于提高学生的整体素质，有利于促进和谐校园的建设。社团活动是学生艺术实践的重要途径，是学生艺术实践的主要阵地，是学生艺术实践的精神家园。既要做到艺术教育的惠普性，又要做到“因材施教”，努力培养学生艺术特长，彰显其艺术才华，为全区艺术教育做贡献。</w:t>
      </w:r>
    </w:p>
    <w:p w:rsidR="005A70FE" w:rsidRDefault="00D06BF1">
      <w:pPr>
        <w:spacing w:line="600" w:lineRule="exact"/>
        <w:ind w:firstLine="645"/>
        <w:rPr>
          <w:rFonts w:ascii="仿宋_GB2312" w:eastAsia="仿宋_GB2312" w:hAnsi="仿宋_GB2312" w:cs="仿宋_GB2312"/>
          <w:kern w:val="20"/>
          <w:sz w:val="34"/>
          <w:szCs w:val="34"/>
        </w:rPr>
      </w:pPr>
      <w:r>
        <w:rPr>
          <w:rFonts w:ascii="仿宋_GB2312" w:eastAsia="仿宋_GB2312" w:hAnsi="仿宋_GB2312" w:cs="仿宋_GB2312" w:hint="eastAsia"/>
          <w:kern w:val="20"/>
          <w:sz w:val="34"/>
          <w:szCs w:val="34"/>
        </w:rPr>
        <w:t>艺术教师施策，利用地域特色、社会基础、周边环境、学生的基本条件，使有限的资源发挥更大的作用，出新求变</w:t>
      </w:r>
      <w:r>
        <w:rPr>
          <w:rFonts w:ascii="仿宋_GB2312" w:eastAsia="仿宋_GB2312" w:hAnsi="仿宋_GB2312" w:cs="仿宋_GB2312" w:hint="eastAsia"/>
          <w:kern w:val="20"/>
          <w:sz w:val="34"/>
          <w:szCs w:val="34"/>
        </w:rPr>
        <w:lastRenderedPageBreak/>
        <w:t xml:space="preserve">有创造性。在艺术教师的努力下学校举办经常性、综合性、多样性的艺术活动，充分与课堂教学相结合，拓展和丰富艺术教育内容和形式。 </w:t>
      </w:r>
    </w:p>
    <w:p w:rsidR="005A70FE" w:rsidRDefault="00D06BF1">
      <w:pPr>
        <w:spacing w:line="600" w:lineRule="exact"/>
        <w:ind w:firstLineChars="200" w:firstLine="680"/>
        <w:rPr>
          <w:rFonts w:ascii="楷体_GB2312" w:eastAsia="楷体_GB2312" w:hAnsi="楷体_GB2312" w:cs="楷体_GB2312"/>
          <w:sz w:val="34"/>
          <w:szCs w:val="34"/>
        </w:rPr>
      </w:pPr>
      <w:r>
        <w:rPr>
          <w:rFonts w:ascii="楷体_GB2312" w:eastAsia="楷体_GB2312" w:hAnsi="楷体_GB2312" w:cs="楷体_GB2312" w:hint="eastAsia"/>
          <w:sz w:val="34"/>
          <w:szCs w:val="34"/>
        </w:rPr>
        <w:t>7.重点项目推进情况</w:t>
      </w:r>
    </w:p>
    <w:p w:rsidR="005A70FE" w:rsidRDefault="00D06BF1">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我区本年度的重点项目是乐器进校园、戏曲进校园。经过一年的发展建设，共计投入100余万元，现在共有15所学校有器乐社团，其中40人以上的器乐社团有6所学校，分别为华辰学校、</w:t>
      </w:r>
      <w:proofErr w:type="gramStart"/>
      <w:r>
        <w:rPr>
          <w:rFonts w:ascii="仿宋_GB2312" w:eastAsia="仿宋_GB2312" w:hAnsi="仿宋_GB2312" w:cs="仿宋_GB2312" w:hint="eastAsia"/>
          <w:sz w:val="34"/>
          <w:szCs w:val="34"/>
        </w:rPr>
        <w:t>普育学校</w:t>
      </w:r>
      <w:proofErr w:type="gramEnd"/>
      <w:r>
        <w:rPr>
          <w:rFonts w:ascii="仿宋_GB2312" w:eastAsia="仿宋_GB2312" w:hAnsi="仿宋_GB2312" w:cs="仿宋_GB2312" w:hint="eastAsia"/>
          <w:sz w:val="34"/>
          <w:szCs w:val="34"/>
        </w:rPr>
        <w:t>、东堤头中学、</w:t>
      </w:r>
      <w:proofErr w:type="gramStart"/>
      <w:r>
        <w:rPr>
          <w:rFonts w:ascii="仿宋_GB2312" w:eastAsia="仿宋_GB2312" w:hAnsi="仿宋_GB2312" w:cs="仿宋_GB2312" w:hint="eastAsia"/>
          <w:sz w:val="34"/>
          <w:szCs w:val="34"/>
        </w:rPr>
        <w:t>宜兴埠三小学</w:t>
      </w:r>
      <w:proofErr w:type="gramEnd"/>
      <w:r>
        <w:rPr>
          <w:rFonts w:ascii="仿宋_GB2312" w:eastAsia="仿宋_GB2312" w:hAnsi="仿宋_GB2312" w:cs="仿宋_GB2312" w:hint="eastAsia"/>
          <w:sz w:val="34"/>
          <w:szCs w:val="34"/>
        </w:rPr>
        <w:t>、实验小学、北仓小学。这6所学校的器乐社团能够进行民乐合奏参加文艺展演（器乐节），还有一部分学校的器乐社团是只有一种乐器合奏，比如古筝合奏、二胡合奏，其中古筝社团的学校比较多，戏曲进校园工作各校开展的丰富多彩。</w:t>
      </w:r>
    </w:p>
    <w:p w:rsidR="005A70FE" w:rsidRDefault="00D06BF1">
      <w:pPr>
        <w:spacing w:line="600" w:lineRule="exact"/>
        <w:ind w:firstLineChars="200" w:firstLine="680"/>
        <w:rPr>
          <w:rFonts w:ascii="楷体_GB2312" w:eastAsia="楷体_GB2312" w:hAnsi="楷体_GB2312" w:cs="楷体_GB2312"/>
          <w:sz w:val="34"/>
          <w:szCs w:val="34"/>
        </w:rPr>
      </w:pPr>
      <w:r>
        <w:rPr>
          <w:rFonts w:ascii="楷体_GB2312" w:eastAsia="楷体_GB2312" w:hAnsi="楷体_GB2312" w:cs="楷体_GB2312" w:hint="eastAsia"/>
          <w:sz w:val="34"/>
          <w:szCs w:val="34"/>
        </w:rPr>
        <w:t>8.中小学生艺术素质测评开展情况</w:t>
      </w:r>
    </w:p>
    <w:p w:rsidR="005A70FE" w:rsidRDefault="00D06BF1">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为确保学生艺术素质测评工作顺利开展，教育局成立了中小学生艺术素质</w:t>
      </w:r>
      <w:proofErr w:type="gramStart"/>
      <w:r>
        <w:rPr>
          <w:rFonts w:ascii="仿宋_GB2312" w:eastAsia="仿宋_GB2312" w:hAnsi="仿宋_GB2312" w:cs="仿宋_GB2312" w:hint="eastAsia"/>
          <w:sz w:val="34"/>
          <w:szCs w:val="34"/>
        </w:rPr>
        <w:t>测评试点</w:t>
      </w:r>
      <w:proofErr w:type="gramEnd"/>
      <w:r>
        <w:rPr>
          <w:rFonts w:ascii="仿宋_GB2312" w:eastAsia="仿宋_GB2312" w:hAnsi="仿宋_GB2312" w:cs="仿宋_GB2312" w:hint="eastAsia"/>
          <w:sz w:val="34"/>
          <w:szCs w:val="34"/>
        </w:rPr>
        <w:t>工作领导小组，制定下发了《北辰中小学生艺术素质测评工作方案》 。学生艺术素质</w:t>
      </w:r>
      <w:proofErr w:type="gramStart"/>
      <w:r>
        <w:rPr>
          <w:rFonts w:ascii="仿宋_GB2312" w:eastAsia="仿宋_GB2312" w:hAnsi="仿宋_GB2312" w:cs="仿宋_GB2312" w:hint="eastAsia"/>
          <w:sz w:val="34"/>
          <w:szCs w:val="34"/>
        </w:rPr>
        <w:t>测评试点</w:t>
      </w:r>
      <w:proofErr w:type="gramEnd"/>
      <w:r>
        <w:rPr>
          <w:rFonts w:ascii="仿宋_GB2312" w:eastAsia="仿宋_GB2312" w:hAnsi="仿宋_GB2312" w:cs="仿宋_GB2312" w:hint="eastAsia"/>
          <w:sz w:val="34"/>
          <w:szCs w:val="34"/>
        </w:rPr>
        <w:t>工作领导小组组织召开全区学生艺术素质测评工作专题会议，传达测评工作精神、解读测评方案，分析预测测评问题。学生艺术素质测评领导小组确立华辰学校、东堤头中学、实验小学为学生艺术素质</w:t>
      </w:r>
      <w:proofErr w:type="gramStart"/>
      <w:r>
        <w:rPr>
          <w:rFonts w:ascii="仿宋_GB2312" w:eastAsia="仿宋_GB2312" w:hAnsi="仿宋_GB2312" w:cs="仿宋_GB2312" w:hint="eastAsia"/>
          <w:sz w:val="34"/>
          <w:szCs w:val="34"/>
        </w:rPr>
        <w:t>测评试点</w:t>
      </w:r>
      <w:proofErr w:type="gramEnd"/>
      <w:r>
        <w:rPr>
          <w:rFonts w:ascii="仿宋_GB2312" w:eastAsia="仿宋_GB2312" w:hAnsi="仿宋_GB2312" w:cs="仿宋_GB2312" w:hint="eastAsia"/>
          <w:sz w:val="34"/>
          <w:szCs w:val="34"/>
        </w:rPr>
        <w:t>校。组织全区负责艺术教育的校长主任和艺术教师，观摩试点校学生艺术素质测评工作的开展。</w:t>
      </w:r>
    </w:p>
    <w:p w:rsidR="005A70FE" w:rsidRDefault="00D06BF1">
      <w:pPr>
        <w:spacing w:line="600" w:lineRule="exact"/>
        <w:ind w:firstLineChars="200" w:firstLine="680"/>
        <w:rPr>
          <w:rFonts w:ascii="楷体_GB2312" w:eastAsia="楷体_GB2312" w:hAnsi="楷体_GB2312" w:cs="楷体_GB2312"/>
          <w:sz w:val="34"/>
          <w:szCs w:val="34"/>
        </w:rPr>
      </w:pPr>
      <w:r>
        <w:rPr>
          <w:rFonts w:ascii="楷体_GB2312" w:eastAsia="楷体_GB2312" w:hAnsi="楷体_GB2312" w:cs="楷体_GB2312" w:hint="eastAsia"/>
          <w:sz w:val="34"/>
          <w:szCs w:val="34"/>
        </w:rPr>
        <w:lastRenderedPageBreak/>
        <w:t>9.中小学校实施艺术教育工作自评制度情况</w:t>
      </w:r>
    </w:p>
    <w:p w:rsidR="005A70FE" w:rsidRDefault="00D06BF1">
      <w:pPr>
        <w:spacing w:line="600" w:lineRule="exact"/>
        <w:ind w:firstLineChars="200" w:firstLine="680"/>
        <w:rPr>
          <w:rFonts w:ascii="仿宋_GB2312" w:eastAsia="仿宋_GB2312" w:hAnsi="仿宋_GB2312" w:cs="仿宋_GB2312"/>
          <w:color w:val="C00000"/>
          <w:sz w:val="34"/>
          <w:szCs w:val="34"/>
        </w:rPr>
      </w:pPr>
      <w:r>
        <w:rPr>
          <w:rFonts w:ascii="仿宋_GB2312" w:eastAsia="仿宋_GB2312" w:hAnsi="仿宋_GB2312" w:cs="仿宋_GB2312" w:hint="eastAsia"/>
          <w:sz w:val="34"/>
          <w:szCs w:val="34"/>
        </w:rPr>
        <w:t>北辰区教育局认真落实艺术教育工作自评制度，要求各校由一把校长亲自主抓，分管</w:t>
      </w:r>
      <w:proofErr w:type="gramStart"/>
      <w:r>
        <w:rPr>
          <w:rFonts w:ascii="仿宋_GB2312" w:eastAsia="仿宋_GB2312" w:hAnsi="仿宋_GB2312" w:cs="仿宋_GB2312" w:hint="eastAsia"/>
          <w:sz w:val="34"/>
          <w:szCs w:val="34"/>
        </w:rPr>
        <w:t>体卫艺工作</w:t>
      </w:r>
      <w:proofErr w:type="gramEnd"/>
      <w:r>
        <w:rPr>
          <w:rFonts w:ascii="仿宋_GB2312" w:eastAsia="仿宋_GB2312" w:hAnsi="仿宋_GB2312" w:cs="仿宋_GB2312" w:hint="eastAsia"/>
          <w:sz w:val="34"/>
          <w:szCs w:val="34"/>
        </w:rPr>
        <w:t>的校长一线落实，确保测评结果的准确性。本次艺术教育工作自评在全区</w:t>
      </w:r>
      <w:r>
        <w:rPr>
          <w:rFonts w:ascii="仿宋_GB2312" w:eastAsia="仿宋_GB2312" w:hAnsi="仿宋_GB2312" w:cs="仿宋_GB2312"/>
          <w:sz w:val="34"/>
          <w:szCs w:val="34"/>
        </w:rPr>
        <w:t>64</w:t>
      </w:r>
      <w:r>
        <w:rPr>
          <w:rFonts w:ascii="仿宋_GB2312" w:eastAsia="仿宋_GB2312" w:hAnsi="仿宋_GB2312" w:cs="仿宋_GB2312" w:hint="eastAsia"/>
          <w:sz w:val="34"/>
          <w:szCs w:val="34"/>
        </w:rPr>
        <w:t>所学校当中，学校艺术教育工作自评等级为优秀的达到61所，占比95%；良好3所，占比5% ；</w:t>
      </w:r>
    </w:p>
    <w:p w:rsidR="005A70FE" w:rsidRDefault="00D06BF1">
      <w:pPr>
        <w:numPr>
          <w:ilvl w:val="0"/>
          <w:numId w:val="1"/>
        </w:numPr>
        <w:spacing w:line="600" w:lineRule="exact"/>
        <w:ind w:firstLineChars="200" w:firstLine="680"/>
        <w:rPr>
          <w:rFonts w:ascii="黑体" w:eastAsia="黑体" w:hAnsi="黑体" w:cs="黑体"/>
          <w:sz w:val="34"/>
          <w:szCs w:val="34"/>
        </w:rPr>
      </w:pPr>
      <w:r>
        <w:rPr>
          <w:rFonts w:ascii="黑体" w:eastAsia="黑体" w:hAnsi="黑体" w:cs="黑体" w:hint="eastAsia"/>
          <w:sz w:val="34"/>
          <w:szCs w:val="34"/>
        </w:rPr>
        <w:t>存在的主要问题</w:t>
      </w:r>
    </w:p>
    <w:p w:rsidR="005A70FE" w:rsidRDefault="00D06BF1">
      <w:pPr>
        <w:numPr>
          <w:ilvl w:val="0"/>
          <w:numId w:val="3"/>
        </w:numPr>
        <w:spacing w:line="600" w:lineRule="exact"/>
        <w:ind w:firstLineChars="200" w:firstLine="680"/>
        <w:rPr>
          <w:rFonts w:ascii="楷体_GB2312" w:eastAsia="楷体_GB2312" w:hAnsi="楷体_GB2312" w:cs="楷体_GB2312"/>
          <w:sz w:val="34"/>
          <w:szCs w:val="34"/>
        </w:rPr>
      </w:pPr>
      <w:r>
        <w:rPr>
          <w:rFonts w:ascii="楷体_GB2312" w:eastAsia="楷体_GB2312" w:hAnsi="楷体_GB2312" w:cs="楷体_GB2312" w:hint="eastAsia"/>
          <w:sz w:val="34"/>
          <w:szCs w:val="34"/>
        </w:rPr>
        <w:t>美育学科非专业兼职教师艺术素养不足。</w:t>
      </w:r>
      <w:r>
        <w:rPr>
          <w:rFonts w:ascii="仿宋_GB2312" w:eastAsia="仿宋_GB2312" w:hAnsi="仿宋_GB2312" w:cs="仿宋_GB2312" w:hint="eastAsia"/>
          <w:sz w:val="34"/>
          <w:szCs w:val="34"/>
        </w:rPr>
        <w:t>在我区中小学美育教师中，兼职教师目前尚占一定比例，研究和分析他们的业务和工作现状并提出基本的对策，对于加强兼职美育教师继续教育的针对性，促进我区艺术课程改革和进一步推进素质教育具有重要的作用。</w:t>
      </w:r>
    </w:p>
    <w:p w:rsidR="005A70FE" w:rsidRDefault="00D06BF1">
      <w:pPr>
        <w:spacing w:line="600" w:lineRule="exact"/>
        <w:ind w:firstLineChars="200" w:firstLine="680"/>
        <w:rPr>
          <w:rFonts w:ascii="仿宋_GB2312" w:eastAsia="仿宋_GB2312" w:hAnsi="仿宋_GB2312" w:cs="仿宋_GB2312"/>
          <w:sz w:val="34"/>
          <w:szCs w:val="34"/>
        </w:rPr>
      </w:pPr>
      <w:r>
        <w:rPr>
          <w:rFonts w:ascii="楷体_GB2312" w:eastAsia="楷体_GB2312" w:hAnsi="楷体_GB2312" w:cs="楷体_GB2312" w:hint="eastAsia"/>
          <w:sz w:val="34"/>
          <w:szCs w:val="34"/>
        </w:rPr>
        <w:t>2．美育科研课题数量较少。</w:t>
      </w:r>
      <w:r>
        <w:rPr>
          <w:rFonts w:ascii="仿宋_GB2312" w:eastAsia="仿宋_GB2312" w:hAnsi="仿宋_GB2312" w:cs="仿宋_GB2312" w:hint="eastAsia"/>
          <w:sz w:val="34"/>
          <w:szCs w:val="34"/>
        </w:rPr>
        <w:t>这就要求教师不断增加自身的业务素质和基础文化素质，积极探索本领域的系统知识，增强教研、科研能力。</w:t>
      </w:r>
    </w:p>
    <w:p w:rsidR="005A70FE" w:rsidRDefault="00D06BF1">
      <w:pPr>
        <w:spacing w:line="600" w:lineRule="exact"/>
        <w:ind w:firstLine="600"/>
        <w:rPr>
          <w:rFonts w:ascii="仿宋_GB2312" w:eastAsia="仿宋_GB2312" w:hAnsi="仿宋_GB2312" w:cs="仿宋_GB2312"/>
          <w:sz w:val="34"/>
          <w:szCs w:val="34"/>
        </w:rPr>
      </w:pPr>
      <w:r>
        <w:rPr>
          <w:rFonts w:ascii="楷体_GB2312" w:eastAsia="楷体_GB2312" w:hAnsi="楷体_GB2312" w:cs="楷体_GB2312" w:hint="eastAsia"/>
          <w:sz w:val="34"/>
          <w:szCs w:val="34"/>
        </w:rPr>
        <w:t>3. 各校艺术教育发展不均衡。</w:t>
      </w:r>
      <w:r>
        <w:rPr>
          <w:rFonts w:ascii="仿宋_GB2312" w:eastAsia="仿宋_GB2312" w:hAnsi="仿宋_GB2312" w:cs="仿宋_GB2312" w:hint="eastAsia"/>
          <w:sz w:val="34"/>
          <w:szCs w:val="34"/>
        </w:rPr>
        <w:t>我区东西狭长，历史发展的原因导致学校的师资水平、学校艺术氛围、器材积累上的不均衡。全区</w:t>
      </w:r>
      <w:r>
        <w:rPr>
          <w:rFonts w:ascii="仿宋_GB2312" w:eastAsia="仿宋_GB2312" w:hAnsi="仿宋_GB2312" w:cs="仿宋_GB2312"/>
          <w:sz w:val="34"/>
          <w:szCs w:val="34"/>
        </w:rPr>
        <w:t>64</w:t>
      </w:r>
      <w:r>
        <w:rPr>
          <w:rFonts w:ascii="仿宋_GB2312" w:eastAsia="仿宋_GB2312" w:hAnsi="仿宋_GB2312" w:cs="仿宋_GB2312" w:hint="eastAsia"/>
          <w:sz w:val="34"/>
          <w:szCs w:val="34"/>
        </w:rPr>
        <w:t>所学校划分为东、中、西三个教学区片，其中东、西两片位于农村，中片为建成区。地理位置的原因导致人文环境和学校规模表现出不均衡。</w:t>
      </w:r>
    </w:p>
    <w:p w:rsidR="005A70FE" w:rsidRDefault="00D06BF1">
      <w:pPr>
        <w:spacing w:line="600" w:lineRule="exact"/>
        <w:ind w:firstLineChars="200" w:firstLine="680"/>
        <w:rPr>
          <w:rFonts w:ascii="黑体" w:eastAsia="黑体" w:hAnsi="黑体" w:cs="黑体"/>
          <w:sz w:val="34"/>
          <w:szCs w:val="34"/>
        </w:rPr>
      </w:pPr>
      <w:r>
        <w:rPr>
          <w:rFonts w:ascii="黑体" w:eastAsia="黑体" w:hAnsi="黑体" w:cs="黑体" w:hint="eastAsia"/>
          <w:sz w:val="34"/>
          <w:szCs w:val="34"/>
        </w:rPr>
        <w:t>三、改进措施</w:t>
      </w:r>
    </w:p>
    <w:p w:rsidR="005A70FE" w:rsidRDefault="00D06BF1">
      <w:pPr>
        <w:spacing w:line="600" w:lineRule="exact"/>
        <w:ind w:firstLineChars="200" w:firstLine="680"/>
        <w:rPr>
          <w:rFonts w:ascii="仿宋_GB2312" w:eastAsia="仿宋_GB2312" w:hAnsi="仿宋_GB2312" w:cs="仿宋_GB2312"/>
          <w:sz w:val="34"/>
          <w:szCs w:val="34"/>
        </w:rPr>
      </w:pPr>
      <w:r>
        <w:rPr>
          <w:rFonts w:ascii="楷体_GB2312" w:eastAsia="楷体_GB2312" w:hAnsi="楷体_GB2312" w:cs="楷体_GB2312" w:hint="eastAsia"/>
          <w:sz w:val="34"/>
          <w:szCs w:val="34"/>
        </w:rPr>
        <w:t xml:space="preserve">1. </w:t>
      </w:r>
      <w:proofErr w:type="gramStart"/>
      <w:r>
        <w:rPr>
          <w:rFonts w:ascii="楷体_GB2312" w:eastAsia="楷体_GB2312" w:hAnsi="楷体_GB2312" w:cs="楷体_GB2312" w:hint="eastAsia"/>
          <w:sz w:val="34"/>
          <w:szCs w:val="34"/>
        </w:rPr>
        <w:t>搭建非</w:t>
      </w:r>
      <w:proofErr w:type="gramEnd"/>
      <w:r>
        <w:rPr>
          <w:rFonts w:ascii="楷体_GB2312" w:eastAsia="楷体_GB2312" w:hAnsi="楷体_GB2312" w:cs="楷体_GB2312" w:hint="eastAsia"/>
          <w:sz w:val="34"/>
          <w:szCs w:val="34"/>
        </w:rPr>
        <w:t>专业兼职教师艺术技能提高的平台。</w:t>
      </w:r>
      <w:r>
        <w:rPr>
          <w:rFonts w:ascii="仿宋_GB2312" w:eastAsia="仿宋_GB2312" w:hAnsi="仿宋_GB2312" w:cs="仿宋_GB2312" w:hint="eastAsia"/>
          <w:sz w:val="34"/>
          <w:szCs w:val="34"/>
        </w:rPr>
        <w:t>针对全区</w:t>
      </w:r>
      <w:r>
        <w:rPr>
          <w:rFonts w:ascii="仿宋_GB2312" w:eastAsia="仿宋_GB2312" w:hAnsi="仿宋_GB2312" w:cs="仿宋_GB2312" w:hint="eastAsia"/>
          <w:sz w:val="34"/>
          <w:szCs w:val="34"/>
        </w:rPr>
        <w:lastRenderedPageBreak/>
        <w:t>中小学美育学科非专业兼职教师艺术素养不足问题，定期聘请专家开展培训，提高其审美能力和文化素养，开发自身的潜能，提高教学和辅导的水平，促进兼职教师专业成长。</w:t>
      </w:r>
    </w:p>
    <w:p w:rsidR="005A70FE" w:rsidRDefault="00D06BF1">
      <w:pPr>
        <w:spacing w:line="600" w:lineRule="exact"/>
        <w:ind w:firstLineChars="200" w:firstLine="680"/>
        <w:rPr>
          <w:rFonts w:ascii="仿宋_GB2312" w:eastAsia="仿宋_GB2312" w:hAnsi="仿宋_GB2312" w:cs="仿宋_GB2312"/>
          <w:sz w:val="34"/>
          <w:szCs w:val="34"/>
        </w:rPr>
      </w:pPr>
      <w:r>
        <w:rPr>
          <w:rFonts w:ascii="楷体_GB2312" w:eastAsia="楷体_GB2312" w:hAnsi="楷体_GB2312" w:cs="楷体_GB2312" w:hint="eastAsia"/>
          <w:sz w:val="34"/>
          <w:szCs w:val="34"/>
        </w:rPr>
        <w:t>2．加强行政管理部门与教学研究部门的有效协调联动。</w:t>
      </w:r>
      <w:r>
        <w:rPr>
          <w:rFonts w:ascii="仿宋_GB2312" w:eastAsia="仿宋_GB2312" w:hAnsi="仿宋_GB2312" w:cs="仿宋_GB2312" w:hint="eastAsia"/>
          <w:sz w:val="34"/>
          <w:szCs w:val="34"/>
        </w:rPr>
        <w:t>区德育艺体科和学生综合素质发展中心形成艺术教育发展研究共同体。形成无缝连接，管、教、</w:t>
      </w:r>
      <w:proofErr w:type="gramStart"/>
      <w:r>
        <w:rPr>
          <w:rFonts w:ascii="仿宋_GB2312" w:eastAsia="仿宋_GB2312" w:hAnsi="仿宋_GB2312" w:cs="仿宋_GB2312" w:hint="eastAsia"/>
          <w:sz w:val="34"/>
          <w:szCs w:val="34"/>
        </w:rPr>
        <w:t>研</w:t>
      </w:r>
      <w:proofErr w:type="gramEnd"/>
      <w:r>
        <w:rPr>
          <w:rFonts w:ascii="仿宋_GB2312" w:eastAsia="仿宋_GB2312" w:hAnsi="仿宋_GB2312" w:cs="仿宋_GB2312" w:hint="eastAsia"/>
          <w:sz w:val="34"/>
          <w:szCs w:val="34"/>
        </w:rPr>
        <w:t>一体。发挥音乐、美术教研组中心组成员的领头雁作用，提高艺术教师的科研能力，取得丰硕的科研成果。</w:t>
      </w:r>
    </w:p>
    <w:p w:rsidR="005A70FE" w:rsidRDefault="00D06BF1">
      <w:pPr>
        <w:spacing w:line="600" w:lineRule="exact"/>
        <w:ind w:firstLineChars="200" w:firstLine="680"/>
        <w:rPr>
          <w:rFonts w:ascii="仿宋_GB2312" w:eastAsia="仿宋_GB2312" w:hAnsi="仿宋_GB2312" w:cs="仿宋_GB2312"/>
          <w:sz w:val="34"/>
          <w:szCs w:val="34"/>
        </w:rPr>
      </w:pPr>
      <w:r>
        <w:rPr>
          <w:rFonts w:ascii="楷体_GB2312" w:eastAsia="楷体_GB2312" w:hAnsi="楷体_GB2312" w:cs="楷体_GB2312" w:hint="eastAsia"/>
          <w:sz w:val="34"/>
          <w:szCs w:val="34"/>
        </w:rPr>
        <w:t>3. 整合艺术教师队伍、优化资源区域使用解决</w:t>
      </w:r>
      <w:proofErr w:type="gramStart"/>
      <w:r>
        <w:rPr>
          <w:rFonts w:ascii="楷体_GB2312" w:eastAsia="楷体_GB2312" w:hAnsi="楷体_GB2312" w:cs="楷体_GB2312" w:hint="eastAsia"/>
          <w:sz w:val="34"/>
          <w:szCs w:val="34"/>
        </w:rPr>
        <w:t>不</w:t>
      </w:r>
      <w:proofErr w:type="gramEnd"/>
      <w:r>
        <w:rPr>
          <w:rFonts w:ascii="楷体_GB2312" w:eastAsia="楷体_GB2312" w:hAnsi="楷体_GB2312" w:cs="楷体_GB2312" w:hint="eastAsia"/>
          <w:sz w:val="34"/>
          <w:szCs w:val="34"/>
        </w:rPr>
        <w:t>均衡的问题。</w:t>
      </w:r>
      <w:r>
        <w:rPr>
          <w:rFonts w:ascii="仿宋_GB2312" w:eastAsia="仿宋_GB2312" w:hAnsi="仿宋_GB2312" w:cs="仿宋_GB2312" w:hint="eastAsia"/>
          <w:sz w:val="34"/>
          <w:szCs w:val="34"/>
        </w:rPr>
        <w:t>积极策划东西两个片区的学校艺术教师形成艺术教师团队，进行走校上课，丰富各校的艺术校本课程设置和校本艺术活动的开展。两个片区的现有艺术器材有效借用流转，发挥物力的最大效益。调配教育局和各校艺术教育资金的使用，做到各校集中建设一个点，区</w:t>
      </w:r>
      <w:proofErr w:type="gramStart"/>
      <w:r>
        <w:rPr>
          <w:rFonts w:ascii="仿宋_GB2312" w:eastAsia="仿宋_GB2312" w:hAnsi="仿宋_GB2312" w:cs="仿宋_GB2312" w:hint="eastAsia"/>
          <w:sz w:val="34"/>
          <w:szCs w:val="34"/>
        </w:rPr>
        <w:t>片联合</w:t>
      </w:r>
      <w:proofErr w:type="gramEnd"/>
      <w:r>
        <w:rPr>
          <w:rFonts w:ascii="仿宋_GB2312" w:eastAsia="仿宋_GB2312" w:hAnsi="仿宋_GB2312" w:cs="仿宋_GB2312" w:hint="eastAsia"/>
          <w:sz w:val="34"/>
          <w:szCs w:val="34"/>
        </w:rPr>
        <w:t>器材流转形成一个面。</w:t>
      </w:r>
    </w:p>
    <w:p w:rsidR="005A70FE" w:rsidRDefault="00D06BF1">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我区将继续坚持先进文化的导向性，弘扬中华民族优秀文化传统，引领广大师生更加广泛、深入地感受艺术文化魅力，切实提高文化素养、审美情趣，增强爱国情操。</w:t>
      </w:r>
    </w:p>
    <w:p w:rsidR="005A70FE" w:rsidRDefault="005A70FE">
      <w:pPr>
        <w:adjustRightInd w:val="0"/>
        <w:snapToGrid w:val="0"/>
        <w:spacing w:line="600" w:lineRule="exact"/>
        <w:rPr>
          <w:rFonts w:ascii="仿宋_GB2312" w:eastAsia="仿宋_GB2312" w:hAnsi="仿宋_GB2312" w:cs="仿宋_GB2312"/>
          <w:sz w:val="34"/>
          <w:szCs w:val="34"/>
        </w:rPr>
      </w:pPr>
    </w:p>
    <w:p w:rsidR="005A70FE" w:rsidRDefault="00D06BF1">
      <w:pPr>
        <w:adjustRightInd w:val="0"/>
        <w:snapToGrid w:val="0"/>
        <w:spacing w:line="600" w:lineRule="exact"/>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w:t>
      </w:r>
    </w:p>
    <w:p w:rsidR="005A70FE" w:rsidRDefault="00D06BF1">
      <w:pPr>
        <w:adjustRightInd w:val="0"/>
        <w:snapToGrid w:val="0"/>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2021年12月</w:t>
      </w:r>
    </w:p>
    <w:p w:rsidR="005A70FE" w:rsidRDefault="005A70FE">
      <w:pPr>
        <w:adjustRightInd w:val="0"/>
        <w:snapToGrid w:val="0"/>
        <w:spacing w:line="600" w:lineRule="exact"/>
        <w:rPr>
          <w:rFonts w:ascii="仿宋_GB2312" w:eastAsia="仿宋_GB2312" w:hAnsi="仿宋_GB2312" w:cs="仿宋_GB2312"/>
          <w:kern w:val="20"/>
          <w:sz w:val="34"/>
          <w:szCs w:val="34"/>
        </w:rPr>
      </w:pPr>
    </w:p>
    <w:sectPr w:rsidR="005A70FE">
      <w:pgSz w:w="11906" w:h="16838"/>
      <w:pgMar w:top="1814" w:right="1531" w:bottom="1814"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小标宋简体">
    <w:altName w:val="微软雅黑"/>
    <w:charset w:val="86"/>
    <w:family w:val="auto"/>
    <w:pitch w:val="default"/>
    <w:sig w:usb0="00000000" w:usb1="184F6CFA" w:usb2="00000012" w:usb3="00000000" w:csb0="00040001" w:csb1="00000000"/>
  </w:font>
  <w:font w:name="方正大标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0CD3B3"/>
    <w:multiLevelType w:val="singleLevel"/>
    <w:tmpl w:val="D70CD3B3"/>
    <w:lvl w:ilvl="0">
      <w:start w:val="1"/>
      <w:numFmt w:val="decimal"/>
      <w:lvlText w:val="%1."/>
      <w:lvlJc w:val="left"/>
      <w:pPr>
        <w:tabs>
          <w:tab w:val="left" w:pos="312"/>
        </w:tabs>
      </w:pPr>
    </w:lvl>
  </w:abstractNum>
  <w:abstractNum w:abstractNumId="1" w15:restartNumberingAfterBreak="0">
    <w:nsid w:val="7BFEE231"/>
    <w:multiLevelType w:val="singleLevel"/>
    <w:tmpl w:val="7BFEE231"/>
    <w:lvl w:ilvl="0">
      <w:start w:val="1"/>
      <w:numFmt w:val="decimal"/>
      <w:lvlText w:val="%1."/>
      <w:lvlJc w:val="left"/>
      <w:pPr>
        <w:tabs>
          <w:tab w:val="left" w:pos="312"/>
        </w:tabs>
      </w:pPr>
    </w:lvl>
  </w:abstractNum>
  <w:abstractNum w:abstractNumId="2" w15:restartNumberingAfterBreak="0">
    <w:nsid w:val="7BFFE98D"/>
    <w:multiLevelType w:val="singleLevel"/>
    <w:tmpl w:val="7BFFE98D"/>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86"/>
    <w:rsid w:val="9D7EBD11"/>
    <w:rsid w:val="B4FF1FA2"/>
    <w:rsid w:val="BBFF068E"/>
    <w:rsid w:val="BDBF8EE3"/>
    <w:rsid w:val="DB3A64FD"/>
    <w:rsid w:val="DCDE2CF8"/>
    <w:rsid w:val="DDDD794E"/>
    <w:rsid w:val="DFAD2212"/>
    <w:rsid w:val="E7FDB100"/>
    <w:rsid w:val="EF7BBC45"/>
    <w:rsid w:val="EFFAA4E8"/>
    <w:rsid w:val="F1B58753"/>
    <w:rsid w:val="F8DF1382"/>
    <w:rsid w:val="FF9BFF25"/>
    <w:rsid w:val="FFF99993"/>
    <w:rsid w:val="00062C88"/>
    <w:rsid w:val="000A0EBE"/>
    <w:rsid w:val="000A67FE"/>
    <w:rsid w:val="001164CB"/>
    <w:rsid w:val="00144245"/>
    <w:rsid w:val="001D6755"/>
    <w:rsid w:val="001D681D"/>
    <w:rsid w:val="002006AE"/>
    <w:rsid w:val="00280BAF"/>
    <w:rsid w:val="002B5C8F"/>
    <w:rsid w:val="002D2FB9"/>
    <w:rsid w:val="003E1B92"/>
    <w:rsid w:val="00440AE0"/>
    <w:rsid w:val="0054751E"/>
    <w:rsid w:val="0055074B"/>
    <w:rsid w:val="005966F1"/>
    <w:rsid w:val="005974F1"/>
    <w:rsid w:val="005A70FE"/>
    <w:rsid w:val="005C0064"/>
    <w:rsid w:val="00651323"/>
    <w:rsid w:val="0065588B"/>
    <w:rsid w:val="00681382"/>
    <w:rsid w:val="006A7D4E"/>
    <w:rsid w:val="006C7485"/>
    <w:rsid w:val="007040D5"/>
    <w:rsid w:val="00732C5D"/>
    <w:rsid w:val="007C4DA2"/>
    <w:rsid w:val="007F3F2F"/>
    <w:rsid w:val="007F499B"/>
    <w:rsid w:val="00811A71"/>
    <w:rsid w:val="00890866"/>
    <w:rsid w:val="008A7E68"/>
    <w:rsid w:val="008B21C6"/>
    <w:rsid w:val="008D18B3"/>
    <w:rsid w:val="008F2500"/>
    <w:rsid w:val="00973115"/>
    <w:rsid w:val="00A03B4C"/>
    <w:rsid w:val="00A31720"/>
    <w:rsid w:val="00A90025"/>
    <w:rsid w:val="00AC676B"/>
    <w:rsid w:val="00AD5834"/>
    <w:rsid w:val="00B80061"/>
    <w:rsid w:val="00B96FE0"/>
    <w:rsid w:val="00BB7523"/>
    <w:rsid w:val="00C46300"/>
    <w:rsid w:val="00C641B2"/>
    <w:rsid w:val="00CA36C5"/>
    <w:rsid w:val="00CB1BAA"/>
    <w:rsid w:val="00CE1FF5"/>
    <w:rsid w:val="00CE6C80"/>
    <w:rsid w:val="00D06BF1"/>
    <w:rsid w:val="00D63878"/>
    <w:rsid w:val="00D7618E"/>
    <w:rsid w:val="00E71786"/>
    <w:rsid w:val="00ED040E"/>
    <w:rsid w:val="00F17179"/>
    <w:rsid w:val="00F213A8"/>
    <w:rsid w:val="00F50C5B"/>
    <w:rsid w:val="00F7366B"/>
    <w:rsid w:val="00FF1519"/>
    <w:rsid w:val="25F9865A"/>
    <w:rsid w:val="37F8F447"/>
    <w:rsid w:val="3A57B94B"/>
    <w:rsid w:val="3CD01F2A"/>
    <w:rsid w:val="3FFFED1D"/>
    <w:rsid w:val="43FBF375"/>
    <w:rsid w:val="5FF91400"/>
    <w:rsid w:val="65DED07F"/>
    <w:rsid w:val="6BFAFAB2"/>
    <w:rsid w:val="75FD1A60"/>
    <w:rsid w:val="79FF09A4"/>
    <w:rsid w:val="7BFF27DC"/>
    <w:rsid w:val="7D9FF8DB"/>
    <w:rsid w:val="7EFB0221"/>
    <w:rsid w:val="7FA64623"/>
    <w:rsid w:val="7FF7D75B"/>
    <w:rsid w:val="7FF9FF20"/>
    <w:rsid w:val="7FFCEC6F"/>
    <w:rsid w:val="7FFDC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7D6B58C"/>
  <w15:docId w15:val="{77830F8A-A1FE-4191-8DBC-F5DD6885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501</Words>
  <Characters>2860</Characters>
  <Application>Microsoft Office Word</Application>
  <DocSecurity>0</DocSecurity>
  <Lines>23</Lines>
  <Paragraphs>6</Paragraphs>
  <ScaleCrop>false</ScaleCrop>
  <Company>微软中国</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39</cp:revision>
  <cp:lastPrinted>2020-12-03T10:06:00Z</cp:lastPrinted>
  <dcterms:created xsi:type="dcterms:W3CDTF">2018-11-03T12:28:00Z</dcterms:created>
  <dcterms:modified xsi:type="dcterms:W3CDTF">2021-12-07T02:27:00Z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