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Hlk127125514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北辰区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2023年耕地资源保护（大豆油料生产扶持）</w:t>
      </w:r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项目实施方案</w:t>
      </w:r>
    </w:p>
    <w:p>
      <w:pPr>
        <w:spacing w:line="580" w:lineRule="exact"/>
        <w:rPr>
          <w:rFonts w:eastAsia="方正小标宋简体"/>
          <w:sz w:val="44"/>
          <w:szCs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按照农业农村部、财政部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、市农业农村委</w:t>
      </w:r>
      <w:r>
        <w:rPr>
          <w:rFonts w:hint="eastAsia" w:ascii="仿宋_GB2312" w:hAnsi="仿宋_GB2312" w:eastAsia="仿宋_GB2312" w:cs="仿宋_GB2312"/>
          <w:sz w:val="34"/>
          <w:szCs w:val="34"/>
        </w:rPr>
        <w:t>有关文件精神，结合《农业农村部办公厅关于印发&lt;大豆振兴计划实施方案&gt;的通知》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4"/>
          <w:szCs w:val="34"/>
        </w:rPr>
        <w:t>《天津市2023年耕地资源保护（大豆油料生产扶持）项目实施方案》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等相关文件要求，</w:t>
      </w:r>
      <w:r>
        <w:rPr>
          <w:rFonts w:hint="eastAsia" w:ascii="仿宋_GB2312" w:hAnsi="仿宋_GB2312" w:eastAsia="仿宋_GB2312" w:cs="仿宋_GB2312"/>
          <w:sz w:val="34"/>
          <w:szCs w:val="34"/>
        </w:rPr>
        <w:t>2023年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北辰区</w:t>
      </w:r>
      <w:r>
        <w:rPr>
          <w:rFonts w:hint="eastAsia" w:ascii="仿宋_GB2312" w:hAnsi="仿宋_GB2312" w:eastAsia="仿宋_GB2312" w:cs="仿宋_GB2312"/>
          <w:sz w:val="34"/>
          <w:szCs w:val="34"/>
        </w:rPr>
        <w:t>组织开展耕地资源保护（大豆油料生产扶持）项目，进一步保护耕地资源，提升耕地地力，推进农业结构调整，扶持大豆和油料产能提升，实施好新形势下国家粮食安全战略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具体实施方案如下：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以习近平新时代中国特色社会主义思想为指导，全面贯彻党的二十大精神，落实藏粮于地、藏粮于技战略，加大政策扶持，全面落实粮食安全党政同责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探索绿色高质高效生产技术模式，发挥大豆固氮和绿肥休耕提高土壤肥力作用，减少化肥使用量，提升生态效益，促进农业转型升级和可持续发展。调动农业经营主体开展大豆油料生产积极性，扩大大豆和油料种植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（一）科学统筹。</w:t>
      </w:r>
      <w:r>
        <w:rPr>
          <w:rFonts w:hint="eastAsia" w:ascii="仿宋_GB2312" w:hAnsi="仿宋_GB2312" w:eastAsia="仿宋_GB2312" w:cs="仿宋_GB2312"/>
          <w:sz w:val="34"/>
          <w:szCs w:val="34"/>
        </w:rPr>
        <w:t>统筹考虑经济效益、社会效益和生态效益，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做好区域布局，</w:t>
      </w:r>
      <w:r>
        <w:rPr>
          <w:rFonts w:hint="eastAsia" w:ascii="仿宋_GB2312" w:hAnsi="仿宋_GB2312" w:eastAsia="仿宋_GB2312" w:cs="仿宋_GB2312"/>
          <w:sz w:val="34"/>
          <w:szCs w:val="34"/>
        </w:rPr>
        <w:t>把握好发展大豆油料生产和耕地休耕轮作，与粮食、蔬菜等生产之间的关系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eastAsia="zh-CN"/>
        </w:rPr>
        <w:t>（二）因地制宜。</w:t>
      </w:r>
      <w:r>
        <w:rPr>
          <w:rFonts w:hint="eastAsia" w:ascii="仿宋_GB2312" w:hAnsi="仿宋_GB2312" w:eastAsia="仿宋_GB2312" w:cs="仿宋_GB2312"/>
          <w:sz w:val="34"/>
          <w:szCs w:val="34"/>
        </w:rPr>
        <w:t>因地制宜、突出重点，与地面沉降区、重金属污染区、耕地撂荒治理重点区域等相关规划衔接，统筹协调推进，提高土壤肥力。根据土地资源和作物品种，合理安排茬口，筛选耐旱耐瘠薄、节水节肥的适合品种，积极探索轮作、间作、套种等多种易推广可复制的技术模式，并进行推广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eastAsia="zh-CN"/>
        </w:rPr>
        <w:t>（三）加强引导。</w:t>
      </w:r>
      <w:r>
        <w:rPr>
          <w:rFonts w:hint="eastAsia" w:ascii="仿宋_GB2312" w:hAnsi="仿宋_GB2312" w:eastAsia="仿宋_GB2312" w:cs="仿宋_GB2312"/>
          <w:sz w:val="34"/>
          <w:szCs w:val="34"/>
        </w:rPr>
        <w:t>充分挖掘各种土地潜力，积极引导农民种植大豆油料作物和开展耕地休耕轮作，提高单产水平和耕地质量。发挥政策引导作用，尊重种植主体意愿，选择生产条件优、带动能力强的种植大户、家庭农场、合作社等经营主体，选取适宜地块组织实施。通过扶持政策和技术服务，调动各类生产经营主体积极性，稳妥有序推进扶持大豆油料生产，确保有成效、可持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三、</w:t>
      </w:r>
      <w:r>
        <w:rPr>
          <w:rFonts w:hint="eastAsia" w:ascii="黑体" w:hAnsi="黑体" w:eastAsia="黑体" w:cs="黑体"/>
          <w:sz w:val="34"/>
          <w:szCs w:val="34"/>
        </w:rPr>
        <w:t>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2023年，在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北辰区</w:t>
      </w:r>
      <w:r>
        <w:rPr>
          <w:rFonts w:hint="eastAsia" w:ascii="仿宋_GB2312" w:hAnsi="仿宋_GB2312" w:eastAsia="仿宋_GB2312" w:cs="仿宋_GB2312"/>
          <w:sz w:val="34"/>
          <w:szCs w:val="34"/>
        </w:rPr>
        <w:t>范围内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计划</w:t>
      </w:r>
      <w:r>
        <w:rPr>
          <w:rFonts w:hint="eastAsia" w:ascii="仿宋_GB2312" w:hAnsi="仿宋_GB2312" w:eastAsia="仿宋_GB2312" w:cs="仿宋_GB2312"/>
          <w:sz w:val="34"/>
          <w:szCs w:val="34"/>
        </w:rPr>
        <w:t>完成大豆种植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4"/>
          <w:szCs w:val="34"/>
        </w:rPr>
        <w:t>万亩，油料作物（用于食用的油料作物生产，包括花生、油菜籽、葵花籽、芝麻、胡麻等，不含牡丹、核桃等木本植物）种植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0.17</w:t>
      </w:r>
      <w:r>
        <w:rPr>
          <w:rFonts w:hint="eastAsia" w:ascii="仿宋_GB2312" w:hAnsi="仿宋_GB2312" w:eastAsia="仿宋_GB2312" w:cs="仿宋_GB2312"/>
          <w:sz w:val="34"/>
          <w:szCs w:val="34"/>
        </w:rPr>
        <w:t>万亩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四</w:t>
      </w:r>
      <w:r>
        <w:rPr>
          <w:rFonts w:hint="eastAsia" w:ascii="黑体" w:hAnsi="黑体" w:eastAsia="黑体" w:cs="黑体"/>
          <w:sz w:val="34"/>
          <w:szCs w:val="34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sz w:val="34"/>
          <w:szCs w:val="34"/>
        </w:rPr>
        <w:t>（一）加强组织领导</w:t>
      </w:r>
      <w:r>
        <w:rPr>
          <w:rFonts w:hint="eastAsia" w:ascii="楷体" w:hAnsi="楷体" w:eastAsia="楷体" w:cs="楷体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为进一步</w:t>
      </w:r>
      <w:r>
        <w:rPr>
          <w:rFonts w:hint="eastAsia" w:ascii="仿宋_GB2312" w:hAnsi="仿宋_GB2312" w:eastAsia="仿宋_GB2312" w:cs="仿宋_GB2312"/>
          <w:sz w:val="34"/>
          <w:szCs w:val="34"/>
        </w:rPr>
        <w:t>强化组织管理，明确实施内容，细化具体措施，加强政策解读，确保工作落实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成立由区农业农村委主任为组长、分管副主任为副组长的项目领导小组，区农业农村委农业管理科为项目办公室，在领导小组统一领导下，负责推动项目实施，组织开展项目绩效自评工作，并按时将有关项目资料上报市农业农村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eastAsia="zh-CN"/>
        </w:rPr>
        <w:t>（二）加强</w:t>
      </w:r>
      <w:r>
        <w:rPr>
          <w:rFonts w:hint="eastAsia" w:ascii="楷体" w:hAnsi="楷体" w:eastAsia="楷体" w:cs="楷体"/>
          <w:sz w:val="34"/>
          <w:szCs w:val="34"/>
        </w:rPr>
        <w:t>指导服务</w:t>
      </w:r>
      <w:r>
        <w:rPr>
          <w:rFonts w:hint="eastAsia" w:ascii="楷体" w:hAnsi="楷体" w:eastAsia="楷体" w:cs="楷体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开展技术培训，指导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种植户</w:t>
      </w:r>
      <w:r>
        <w:rPr>
          <w:rFonts w:hint="eastAsia" w:ascii="仿宋_GB2312" w:hAnsi="仿宋_GB2312" w:eastAsia="仿宋_GB2312" w:cs="仿宋_GB2312"/>
          <w:sz w:val="34"/>
          <w:szCs w:val="34"/>
        </w:rPr>
        <w:t>尽快掌握技术要领，搞好机具改装配套，落实各种技术模式所需种子，满足种植需要。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default" w:ascii="仿宋_GB2312" w:hAnsi="仿宋_GB2312" w:eastAsia="仿宋_GB2312" w:cs="仿宋_GB2312"/>
          <w:color w:val="auto"/>
          <w:sz w:val="34"/>
          <w:szCs w:val="34"/>
          <w:lang w:val="en-US"/>
        </w:rPr>
      </w:pPr>
      <w:r>
        <w:rPr>
          <w:rFonts w:hint="eastAsia" w:ascii="楷体" w:hAnsi="楷体" w:eastAsia="楷体" w:cs="楷体"/>
          <w:color w:val="auto"/>
          <w:sz w:val="34"/>
          <w:szCs w:val="34"/>
          <w:lang w:eastAsia="zh-CN"/>
        </w:rPr>
        <w:t>（三）落实以奖代补。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成立由区农业中心主任为组长，分管副主任为副组长，区农业中心推广科、区农业农村委农业管理科为成员的绩效考评组，对各镇完成大豆、油料种植工作进行绩效评价，按照绩效评价结果落实奖补资金，奖补标准为大豆每亩不超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过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200元、油料作物每亩不超过300元。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依据各镇绩效评价结果，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奖补资金分配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标准如下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绩效评价结果为“优”的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可获得的奖补资金=本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奖补资金上限×100%；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绩效评价结果为“良”的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可获得的奖补资金=本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奖补资金上限×绩效评级得分(百分制)/100；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绩效评价结果为“中”或“差”的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不予奖补。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eastAsia="zh-CN"/>
        </w:rPr>
        <w:t>（四）加大宣传力度。</w:t>
      </w:r>
      <w:r>
        <w:rPr>
          <w:rFonts w:hint="eastAsia" w:ascii="仿宋_GB2312" w:hAnsi="仿宋_GB2312" w:eastAsia="仿宋_GB2312" w:cs="仿宋_GB2312"/>
          <w:sz w:val="34"/>
          <w:szCs w:val="34"/>
        </w:rPr>
        <w:t>挖掘典型，充分利用广播、电视、网络等媒体加强宣传，引导社会各界关注支持相关工作。营造良好舆论氛围。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sz w:val="34"/>
          <w:szCs w:val="34"/>
        </w:rPr>
        <w:t>五、</w:t>
      </w:r>
      <w:r>
        <w:rPr>
          <w:rFonts w:hint="eastAsia" w:ascii="黑体" w:hAnsi="黑体" w:eastAsia="黑体" w:cs="黑体"/>
          <w:sz w:val="34"/>
          <w:szCs w:val="34"/>
          <w:lang w:eastAsia="zh-CN"/>
        </w:rPr>
        <w:t>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区农业农村委负责项目实施主体的遴选、公示及面积核查、验收等工作。大豆和油料项目于10月底前完成。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sz w:val="34"/>
          <w:szCs w:val="34"/>
        </w:rPr>
        <w:t>（</w:t>
      </w:r>
      <w:r>
        <w:rPr>
          <w:rFonts w:hint="eastAsia" w:ascii="楷体" w:hAnsi="楷体" w:eastAsia="楷体" w:cs="楷体"/>
          <w:sz w:val="34"/>
          <w:szCs w:val="34"/>
          <w:lang w:eastAsia="zh-CN"/>
        </w:rPr>
        <w:t>一</w:t>
      </w:r>
      <w:r>
        <w:rPr>
          <w:rFonts w:hint="eastAsia" w:ascii="楷体" w:hAnsi="楷体" w:eastAsia="楷体" w:cs="楷体"/>
          <w:sz w:val="34"/>
          <w:szCs w:val="34"/>
        </w:rPr>
        <w:t>）</w:t>
      </w:r>
      <w:r>
        <w:rPr>
          <w:rFonts w:hint="eastAsia" w:ascii="楷体" w:hAnsi="楷体" w:eastAsia="楷体" w:cs="楷体"/>
          <w:sz w:val="34"/>
          <w:szCs w:val="34"/>
          <w:lang w:eastAsia="zh-CN"/>
        </w:rPr>
        <w:t>地块规模。</w:t>
      </w:r>
      <w:r>
        <w:rPr>
          <w:rFonts w:hint="eastAsia" w:ascii="仿宋_GB2312" w:hAnsi="仿宋_GB2312" w:eastAsia="仿宋_GB2312" w:cs="仿宋_GB2312"/>
          <w:sz w:val="34"/>
          <w:szCs w:val="34"/>
        </w:rPr>
        <w:t>大豆生产采取平作或粮豆间作（大豆种植比例必须达到50%以上）模式，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最小实施规模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5亩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sz w:val="34"/>
          <w:szCs w:val="34"/>
          <w:lang w:eastAsia="zh-CN"/>
        </w:rPr>
        <w:t>（二</w:t>
      </w:r>
      <w:r>
        <w:rPr>
          <w:rFonts w:hint="eastAsia" w:ascii="楷体" w:hAnsi="楷体" w:eastAsia="楷体" w:cs="楷体"/>
          <w:sz w:val="34"/>
          <w:szCs w:val="34"/>
          <w:lang w:val="en-US" w:eastAsia="zh-CN"/>
        </w:rPr>
        <w:t>）</w:t>
      </w:r>
      <w:r>
        <w:rPr>
          <w:rFonts w:hint="eastAsia" w:ascii="楷体" w:hAnsi="楷体" w:eastAsia="楷体" w:cs="楷体"/>
          <w:sz w:val="34"/>
          <w:szCs w:val="34"/>
        </w:rPr>
        <w:t>实施主体</w:t>
      </w:r>
      <w:r>
        <w:rPr>
          <w:rFonts w:hint="eastAsia" w:ascii="楷体" w:hAnsi="楷体" w:eastAsia="楷体" w:cs="楷体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实施主体为本市基本农户、村集体耕地承包户、国有农场职工、国有农场耕地承包户以及种粮大户、家庭农场、农民合作社、农业企业等新型经营主体。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楷体" w:hAnsi="楷体" w:eastAsia="楷体" w:cs="楷体"/>
          <w:color w:val="auto"/>
          <w:sz w:val="34"/>
          <w:szCs w:val="34"/>
          <w:lang w:eastAsia="zh-CN"/>
        </w:rPr>
        <w:t>（三）</w:t>
      </w:r>
      <w:r>
        <w:rPr>
          <w:rFonts w:hint="eastAsia" w:ascii="楷体" w:hAnsi="楷体" w:eastAsia="楷体" w:cs="楷体"/>
          <w:color w:val="auto"/>
          <w:sz w:val="34"/>
          <w:szCs w:val="34"/>
        </w:rPr>
        <w:t>技术模式</w:t>
      </w:r>
      <w:r>
        <w:rPr>
          <w:rFonts w:hint="eastAsia" w:ascii="楷体" w:hAnsi="楷体" w:eastAsia="楷体" w:cs="楷体"/>
          <w:color w:val="auto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结合我区耕地质量、林地分布及种植现状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采取以下种植模式：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1、在双街、双口、西堤头、大张庄等镇单季玉米集中种植区域，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实行“一年一熟”制，种植一季春播大豆，或采取“玉米—大豆带状复合种植”间作模式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2、在双口、青光等镇“小麦玉米两茬平作”集中种植区域，实行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“一年两熟”制轮作模式，或小麦与“夏玉米—大豆带状复合种植”的“一年两熟”制间作模式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 xml:space="preserve">    3、在双口、大张庄等镇适宜发展林下种植区域，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</w:rPr>
        <w:t>实行“一年一熟”制，种植一季春播大豆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eastAsia="zh-CN"/>
        </w:rPr>
        <w:t>（四）</w:t>
      </w:r>
      <w:r>
        <w:rPr>
          <w:rFonts w:hint="eastAsia" w:ascii="楷体" w:hAnsi="楷体" w:eastAsia="楷体" w:cs="楷体"/>
          <w:sz w:val="34"/>
          <w:szCs w:val="34"/>
        </w:rPr>
        <w:t>核查推动</w:t>
      </w:r>
      <w:r>
        <w:rPr>
          <w:rFonts w:hint="eastAsia" w:ascii="楷体" w:hAnsi="楷体" w:eastAsia="楷体" w:cs="楷体"/>
          <w:sz w:val="34"/>
          <w:szCs w:val="34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4"/>
          <w:szCs w:val="34"/>
        </w:rPr>
        <w:t>区农业农村委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、区农业中心、各相关镇</w:t>
      </w:r>
      <w:r>
        <w:rPr>
          <w:rFonts w:hint="eastAsia" w:ascii="仿宋_GB2312" w:hAnsi="仿宋_GB2312" w:eastAsia="仿宋_GB2312" w:cs="仿宋_GB2312"/>
          <w:sz w:val="34"/>
          <w:szCs w:val="34"/>
        </w:rPr>
        <w:t>和有关单位要适时开展工作督导，推动生产面积、技术措施、指导服务等工作落实。发现问题及时督促整改。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楷体" w:hAnsi="楷体" w:eastAsia="楷体" w:cs="楷体"/>
          <w:sz w:val="34"/>
          <w:szCs w:val="34"/>
          <w:lang w:eastAsia="zh-CN"/>
        </w:rPr>
        <w:t>（五）</w:t>
      </w:r>
      <w:r>
        <w:rPr>
          <w:rFonts w:hint="eastAsia" w:ascii="楷体" w:hAnsi="楷体" w:eastAsia="楷体" w:cs="楷体"/>
          <w:sz w:val="34"/>
          <w:szCs w:val="34"/>
        </w:rPr>
        <w:t>绩效</w:t>
      </w:r>
      <w:r>
        <w:rPr>
          <w:rFonts w:hint="eastAsia" w:ascii="楷体" w:hAnsi="楷体" w:eastAsia="楷体" w:cs="楷体"/>
          <w:sz w:val="34"/>
          <w:szCs w:val="34"/>
          <w:lang w:eastAsia="zh-CN"/>
        </w:rPr>
        <w:t>评价。</w:t>
      </w:r>
      <w:r>
        <w:rPr>
          <w:rFonts w:hint="eastAsia" w:ascii="仿宋_GB2312" w:hAnsi="仿宋_GB2312" w:eastAsia="仿宋_GB2312" w:cs="仿宋_GB2312"/>
          <w:sz w:val="34"/>
          <w:szCs w:val="34"/>
        </w:rPr>
        <w:t>各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相关镇</w:t>
      </w:r>
      <w:r>
        <w:rPr>
          <w:rFonts w:hint="eastAsia" w:ascii="仿宋_GB2312" w:hAnsi="仿宋_GB2312" w:eastAsia="仿宋_GB2312" w:cs="仿宋_GB2312"/>
          <w:sz w:val="34"/>
          <w:szCs w:val="34"/>
        </w:rPr>
        <w:t>对项目完成情况进行总结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并提供佐证材料。区级绩效考评组对各镇进行绩效考评，并在此基础上完成</w:t>
      </w:r>
      <w:r>
        <w:rPr>
          <w:rFonts w:hint="eastAsia" w:ascii="仿宋_GB2312" w:hAnsi="仿宋_GB2312" w:eastAsia="仿宋_GB2312" w:cs="仿宋_GB2312"/>
          <w:sz w:val="34"/>
          <w:szCs w:val="34"/>
        </w:rPr>
        <w:t>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4"/>
          <w:szCs w:val="34"/>
        </w:rPr>
        <w:t>绩效自评，于2024年2月20日前，将项目总结、绩效自评报告、相关佐证材料，报送市农业农村委。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北辰区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2023年耕地资源保护（大豆油料生产扶持）项目任务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分解计划表</w:t>
      </w: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</w:p>
    <w:p>
      <w:pPr>
        <w:jc w:val="left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2023年耕地资源保护（大豆油料生产扶持）项目任务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分解计划表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669"/>
        <w:gridCol w:w="1669"/>
        <w:gridCol w:w="1669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4"/>
                <w:szCs w:val="34"/>
                <w:vertAlign w:val="baseline"/>
                <w:lang w:eastAsia="zh-CN"/>
              </w:rPr>
              <w:t>镇</w:t>
            </w:r>
          </w:p>
        </w:tc>
        <w:tc>
          <w:tcPr>
            <w:tcW w:w="2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4"/>
                <w:szCs w:val="34"/>
                <w:vertAlign w:val="baseline"/>
                <w:lang w:val="en-US" w:eastAsia="zh-CN"/>
              </w:rPr>
              <w:t>大豆(亩)</w:t>
            </w:r>
          </w:p>
        </w:tc>
        <w:tc>
          <w:tcPr>
            <w:tcW w:w="4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玉米大豆带状复合种植</w:t>
            </w:r>
          </w:p>
        </w:tc>
        <w:tc>
          <w:tcPr>
            <w:tcW w:w="34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4"/>
                <w:szCs w:val="34"/>
                <w:vertAlign w:val="baseline"/>
                <w:lang w:eastAsia="zh-CN"/>
              </w:rPr>
              <w:t>油料</w:t>
            </w:r>
            <w:r>
              <w:rPr>
                <w:rFonts w:hint="eastAsia" w:ascii="黑体" w:hAnsi="黑体" w:eastAsia="黑体" w:cs="黑体"/>
                <w:b w:val="0"/>
                <w:bCs w:val="0"/>
                <w:sz w:val="34"/>
                <w:szCs w:val="34"/>
                <w:vertAlign w:val="baseline"/>
                <w:lang w:val="en-US" w:eastAsia="zh-CN"/>
              </w:rPr>
              <w:t>(亩)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24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4"/>
                <w:szCs w:val="34"/>
                <w:vertAlign w:val="baseline"/>
                <w:lang w:eastAsia="zh-CN"/>
              </w:rPr>
              <w:t>大豆</w:t>
            </w:r>
            <w:r>
              <w:rPr>
                <w:rFonts w:hint="eastAsia" w:ascii="黑体" w:hAnsi="黑体" w:eastAsia="黑体" w:cs="黑体"/>
                <w:b w:val="0"/>
                <w:bCs w:val="0"/>
                <w:sz w:val="34"/>
                <w:szCs w:val="34"/>
                <w:vertAlign w:val="baseline"/>
                <w:lang w:val="en-US" w:eastAsia="zh-CN"/>
              </w:rPr>
              <w:t>(亩)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4"/>
                <w:szCs w:val="34"/>
                <w:vertAlign w:val="baseline"/>
                <w:lang w:eastAsia="zh-CN"/>
              </w:rPr>
              <w:t>地块</w:t>
            </w:r>
            <w:r>
              <w:rPr>
                <w:rFonts w:hint="eastAsia" w:ascii="黑体" w:hAnsi="黑体" w:eastAsia="黑体" w:cs="黑体"/>
                <w:b w:val="0"/>
                <w:bCs w:val="0"/>
                <w:sz w:val="34"/>
                <w:szCs w:val="34"/>
                <w:vertAlign w:val="baseline"/>
                <w:lang w:val="en-US" w:eastAsia="zh-CN"/>
              </w:rPr>
              <w:t>(亩)</w:t>
            </w:r>
          </w:p>
        </w:tc>
        <w:tc>
          <w:tcPr>
            <w:tcW w:w="3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4"/>
                <w:szCs w:val="3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eastAsia="zh-CN"/>
              </w:rPr>
              <w:t>双口镇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2200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630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900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双街镇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1800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420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600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eastAsia="zh-CN"/>
              </w:rPr>
              <w:t>青光镇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500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eastAsia="zh-CN"/>
              </w:rPr>
              <w:t>西堤头镇</w:t>
            </w:r>
            <w:bookmarkStart w:id="1" w:name="_GoBack"/>
            <w:bookmarkEnd w:id="1"/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1000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eastAsia="zh-CN"/>
              </w:rPr>
              <w:t>大张庄镇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500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</w:p>
        </w:tc>
        <w:tc>
          <w:tcPr>
            <w:tcW w:w="3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4"/>
                <w:szCs w:val="34"/>
                <w:vertAlign w:val="baseline"/>
                <w:lang w:val="en-US" w:eastAsia="zh-CN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eastAsia="zh-CN"/>
              </w:rPr>
              <w:t>合计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val="en-US" w:eastAsia="zh-CN"/>
              </w:rPr>
              <w:t>6000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val="en-US" w:eastAsia="zh-CN"/>
              </w:rPr>
              <w:t>1050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val="en-US" w:eastAsia="zh-CN"/>
              </w:rPr>
              <w:t>1500</w:t>
            </w:r>
          </w:p>
        </w:tc>
        <w:tc>
          <w:tcPr>
            <w:tcW w:w="34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4"/>
                <w:szCs w:val="34"/>
                <w:vertAlign w:val="baseline"/>
                <w:lang w:val="en-US" w:eastAsia="zh-CN"/>
              </w:rPr>
              <w:t>1700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580" w:lineRule="exact"/>
        <w:ind w:firstLine="420" w:firstLineChars="200"/>
        <w:rPr>
          <w:rFonts w:hint="eastAsia" w:eastAsia="仿宋_GB2312"/>
          <w:szCs w:val="32"/>
          <w:lang w:eastAsia="zh-CN"/>
        </w:rPr>
      </w:pPr>
    </w:p>
    <w:p>
      <w:pPr>
        <w:spacing w:line="640" w:lineRule="exact"/>
        <w:jc w:val="center"/>
        <w:rPr>
          <w:rFonts w:ascii="仿宋_GB2312" w:hAnsi="仿宋_GB2312" w:eastAsia="仿宋_GB2312" w:cs="仿宋_GB2312"/>
          <w:color w:val="333333"/>
          <w:sz w:val="34"/>
          <w:szCs w:val="34"/>
          <w:shd w:val="clear" w:color="auto" w:fill="FFFFFF"/>
        </w:rPr>
      </w:pPr>
    </w:p>
    <w:sectPr>
      <w:pgSz w:w="11906" w:h="16838"/>
      <w:pgMar w:top="2098" w:right="1531" w:bottom="1985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12"/>
    <w:rsid w:val="000204B7"/>
    <w:rsid w:val="00026304"/>
    <w:rsid w:val="000270FA"/>
    <w:rsid w:val="00041AA6"/>
    <w:rsid w:val="00046E96"/>
    <w:rsid w:val="000568F6"/>
    <w:rsid w:val="00060BEE"/>
    <w:rsid w:val="00082E39"/>
    <w:rsid w:val="0008442D"/>
    <w:rsid w:val="000A7CDE"/>
    <w:rsid w:val="001015D2"/>
    <w:rsid w:val="001059A6"/>
    <w:rsid w:val="00113702"/>
    <w:rsid w:val="001222C2"/>
    <w:rsid w:val="00125528"/>
    <w:rsid w:val="00132012"/>
    <w:rsid w:val="001B4A92"/>
    <w:rsid w:val="001D3B23"/>
    <w:rsid w:val="001E2999"/>
    <w:rsid w:val="00212C2C"/>
    <w:rsid w:val="002643F0"/>
    <w:rsid w:val="0029286F"/>
    <w:rsid w:val="00300676"/>
    <w:rsid w:val="00372431"/>
    <w:rsid w:val="003A49C7"/>
    <w:rsid w:val="003C2FB1"/>
    <w:rsid w:val="003F0A17"/>
    <w:rsid w:val="003F6D90"/>
    <w:rsid w:val="00400077"/>
    <w:rsid w:val="00402733"/>
    <w:rsid w:val="00442B9F"/>
    <w:rsid w:val="00447201"/>
    <w:rsid w:val="00483638"/>
    <w:rsid w:val="005214C0"/>
    <w:rsid w:val="00536973"/>
    <w:rsid w:val="00556CD5"/>
    <w:rsid w:val="00557F3A"/>
    <w:rsid w:val="005C5F16"/>
    <w:rsid w:val="00637C0E"/>
    <w:rsid w:val="00657AA1"/>
    <w:rsid w:val="00663B1E"/>
    <w:rsid w:val="00673EBA"/>
    <w:rsid w:val="0068643C"/>
    <w:rsid w:val="006A7821"/>
    <w:rsid w:val="006F2B17"/>
    <w:rsid w:val="007257FD"/>
    <w:rsid w:val="007B6863"/>
    <w:rsid w:val="007C5DB5"/>
    <w:rsid w:val="007F0046"/>
    <w:rsid w:val="008048C0"/>
    <w:rsid w:val="00805470"/>
    <w:rsid w:val="00813A8E"/>
    <w:rsid w:val="008335E4"/>
    <w:rsid w:val="00895B80"/>
    <w:rsid w:val="008A4942"/>
    <w:rsid w:val="008D3A0E"/>
    <w:rsid w:val="008E5372"/>
    <w:rsid w:val="00917F33"/>
    <w:rsid w:val="009D5A78"/>
    <w:rsid w:val="00A84566"/>
    <w:rsid w:val="00A958A8"/>
    <w:rsid w:val="00AC4324"/>
    <w:rsid w:val="00C33EB9"/>
    <w:rsid w:val="00C4706C"/>
    <w:rsid w:val="00C54C32"/>
    <w:rsid w:val="00C62786"/>
    <w:rsid w:val="00CB524C"/>
    <w:rsid w:val="00CE3718"/>
    <w:rsid w:val="00CF4982"/>
    <w:rsid w:val="00D106EE"/>
    <w:rsid w:val="00D2274A"/>
    <w:rsid w:val="00D36CDF"/>
    <w:rsid w:val="00D56AAF"/>
    <w:rsid w:val="00D9753F"/>
    <w:rsid w:val="00DF03BB"/>
    <w:rsid w:val="00DF046A"/>
    <w:rsid w:val="00E945B6"/>
    <w:rsid w:val="00ED5255"/>
    <w:rsid w:val="00F043F8"/>
    <w:rsid w:val="00F10B47"/>
    <w:rsid w:val="00F14271"/>
    <w:rsid w:val="00F24B1C"/>
    <w:rsid w:val="00F50BE9"/>
    <w:rsid w:val="00F65C42"/>
    <w:rsid w:val="00FA2B9A"/>
    <w:rsid w:val="00FD0239"/>
    <w:rsid w:val="00FD65CF"/>
    <w:rsid w:val="3168412D"/>
    <w:rsid w:val="3FC9C39B"/>
    <w:rsid w:val="5EDE656D"/>
    <w:rsid w:val="7DF76C68"/>
    <w:rsid w:val="7FEFDCC8"/>
    <w:rsid w:val="EE5F08CA"/>
    <w:rsid w:val="F6292BA4"/>
    <w:rsid w:val="F659398E"/>
    <w:rsid w:val="FDF74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rPr>
      <w:rFonts w:eastAsia="文星仿宋"/>
      <w:sz w:val="32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99"/>
    <w:rPr>
      <w:rFonts w:cs="Times New Roman"/>
      <w:color w:val="0563C1"/>
      <w:u w:val="single"/>
    </w:rPr>
  </w:style>
  <w:style w:type="character" w:customStyle="1" w:styleId="11">
    <w:name w:val=" Char Char3"/>
    <w:basedOn w:val="9"/>
    <w:link w:val="2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2">
    <w:name w:val=" Char Char2"/>
    <w:basedOn w:val="9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3">
    <w:name w:val=" Char Char1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 Char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5">
    <w:name w:val="ParaAttribute32"/>
    <w:qFormat/>
    <w:uiPriority w:val="0"/>
    <w:pPr>
      <w:widowControl w:val="0"/>
      <w:wordWrap w:val="0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ParaAttribute31"/>
    <w:qFormat/>
    <w:uiPriority w:val="0"/>
    <w:pPr>
      <w:widowControl w:val="0"/>
      <w:wordWrap w:val="0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ParaAttribute61"/>
    <w:qFormat/>
    <w:uiPriority w:val="0"/>
    <w:pPr>
      <w:widowControl w:val="0"/>
      <w:wordWrap w:val="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CharAttribute20"/>
    <w:qFormat/>
    <w:uiPriority w:val="0"/>
    <w:rPr>
      <w:rFonts w:ascii="仿宋_GB2312" w:hAnsi="宋体" w:eastAsia="宋体"/>
      <w:sz w:val="24"/>
    </w:rPr>
  </w:style>
  <w:style w:type="character" w:customStyle="1" w:styleId="19">
    <w:name w:val="CharAttribute34"/>
    <w:qFormat/>
    <w:uiPriority w:val="0"/>
    <w:rPr>
      <w:rFonts w:ascii="仿宋_GB2312" w:hAnsi="宋体" w:eastAsia="宋体"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TJRMZF</Company>
  <Pages>1</Pages>
  <Words>8</Words>
  <Characters>51</Characters>
  <Lines>1</Lines>
  <Paragraphs>1</Paragraphs>
  <TotalTime>48</TotalTime>
  <ScaleCrop>false</ScaleCrop>
  <LinksUpToDate>false</LinksUpToDate>
  <CharactersWithSpaces>58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2020-04-12T08:55:00Z</dcterms:created>
  <dc:creator>笑看风云1384181454</dc:creator>
  <cp:lastModifiedBy>admin</cp:lastModifiedBy>
  <cp:lastPrinted>2019-11-17T14:58:00Z</cp:lastPrinted>
  <dcterms:modified xsi:type="dcterms:W3CDTF">2024-02-18T10:43:33Z</dcterms:modified>
  <dc:title>市农业农村委关于集中打击清理整顿“保健”市场乱象百日行动方案的通知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