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rPr>
          <w:rFonts w:ascii="Times New Roman" w:hAnsi="仿宋_GB2312" w:eastAsia="仿宋_GB2312" w:cs="仿宋_GB2312"/>
          <w:bCs/>
          <w:color w:val="000000"/>
          <w:sz w:val="32"/>
          <w:szCs w:val="32"/>
        </w:rPr>
      </w:pPr>
      <w:r>
        <w:rPr>
          <w:rFonts w:hint="eastAsia" w:ascii="Times New Roman" w:hAnsi="仿宋_GB2312" w:eastAsia="仿宋_GB2312" w:cs="仿宋_GB2312"/>
          <w:bCs/>
          <w:color w:val="000000"/>
          <w:sz w:val="32"/>
          <w:szCs w:val="32"/>
        </w:rPr>
        <w:t>津辰市监处罚〔</w:t>
      </w:r>
      <w:r>
        <w:rPr>
          <w:rFonts w:ascii="Times New Roman" w:hAnsi="Times New Roman" w:eastAsia="仿宋_GB2312" w:cs="仿宋_GB2312"/>
          <w:bCs/>
          <w:color w:val="000000"/>
          <w:sz w:val="32"/>
          <w:szCs w:val="32"/>
        </w:rPr>
        <w:t>2021</w:t>
      </w:r>
      <w:r>
        <w:rPr>
          <w:rFonts w:hint="eastAsia" w:ascii="Times New Roman" w:hAnsi="仿宋_GB2312" w:eastAsia="仿宋_GB2312" w:cs="仿宋_GB2312"/>
          <w:bCs/>
          <w:color w:val="000000"/>
          <w:sz w:val="32"/>
          <w:szCs w:val="32"/>
        </w:rPr>
        <w:t>〕</w:t>
      </w:r>
      <w:r>
        <w:rPr>
          <w:rFonts w:ascii="Times New Roman" w:hAnsi="Times New Roman" w:eastAsia="仿宋_GB2312" w:cs="仿宋_GB2312"/>
          <w:bCs/>
          <w:color w:val="000000"/>
          <w:sz w:val="32"/>
          <w:szCs w:val="32"/>
        </w:rPr>
        <w:t>739</w:t>
      </w:r>
      <w:r>
        <w:rPr>
          <w:rFonts w:hint="eastAsia" w:ascii="Times New Roman" w:hAnsi="仿宋_GB2312" w:eastAsia="仿宋_GB2312" w:cs="仿宋_GB2312"/>
          <w:bCs/>
          <w:color w:val="000000"/>
          <w:sz w:val="32"/>
          <w:szCs w:val="32"/>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480" w:lineRule="exact"/>
        <w:ind w:left="140" w:hanging="140"/>
        <w:rPr>
          <w:rFonts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当事人：天津星河永旺食品科技有限公司</w:t>
      </w:r>
    </w:p>
    <w:p>
      <w:pPr>
        <w:spacing w:line="480" w:lineRule="exact"/>
        <w:ind w:left="140" w:hanging="140"/>
        <w:rPr>
          <w:rFonts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名称：营业执照</w:t>
      </w:r>
    </w:p>
    <w:p>
      <w:pPr>
        <w:spacing w:line="48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Mongolian Baiti"/>
          <w:kern w:val="1"/>
          <w:sz w:val="32"/>
          <w:szCs w:val="32"/>
        </w:rPr>
        <w:t>91120113MA05J84K6L</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住所：天津市北辰区天津医药医疗器械产业园京福公路东侧优谷新科园138-1、2、3号楼</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w:t>
      </w:r>
      <w:r>
        <w:rPr>
          <w:rFonts w:hint="eastAsia" w:ascii="Times New Roman" w:hAnsi="Times New Roman" w:eastAsia="仿宋_GB2312"/>
          <w:sz w:val="32"/>
          <w:szCs w:val="32"/>
        </w:rPr>
        <w:t>杨瑞萍</w:t>
      </w:r>
    </w:p>
    <w:p>
      <w:pPr>
        <w:spacing w:line="48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身份证件号码：</w:t>
      </w:r>
      <w:r>
        <w:rPr>
          <w:rFonts w:hint="eastAsia" w:ascii="Times New Roman" w:hAnsi="Times New Roman" w:eastAsia="仿宋_GB2312" w:cs="Mongolian Baiti"/>
          <w:kern w:val="1"/>
          <w:sz w:val="32"/>
          <w:szCs w:val="32"/>
          <w:u w:val="none"/>
          <w:lang w:val="en-US" w:eastAsia="zh-CN"/>
        </w:rPr>
        <w:t>******************</w:t>
      </w:r>
    </w:p>
    <w:p>
      <w:pPr>
        <w:pStyle w:val="2"/>
        <w:tabs>
          <w:tab w:val="left" w:pos="9060"/>
        </w:tabs>
        <w:spacing w:line="480" w:lineRule="exact"/>
        <w:ind w:firstLine="437" w:firstLineChars="196"/>
        <w:jc w:val="both"/>
        <w:rPr>
          <w:rFonts w:ascii="仿宋_GB2312" w:hAnsi="方正仿宋_GBK" w:eastAsia="仿宋_GB2312"/>
          <w:b/>
          <w:strike/>
          <w:color w:val="231F20"/>
          <w:spacing w:val="-49"/>
        </w:rPr>
      </w:pPr>
    </w:p>
    <w:p>
      <w:pPr>
        <w:pStyle w:val="2"/>
        <w:tabs>
          <w:tab w:val="left" w:pos="8240"/>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2021年11月23日，我局收到壹诺（天津）检测服务有限公司出具的编号为DC21120116115631365的《检验报告》，报告显示，标称天津星河永旺食品科技有限公司2021年11月5日生产经营的银丝卷（无馅类）经抽样检验，菌落总数、大肠菌群项目不符合Q/06A2667S-2018《面食制品》要求，检验结论为不合格。同日，执法人员到天津星河永旺食品科技有限公司进行核查，经查，该批次检验不合格产品确为当事人生产经营，该批次银丝卷（无馅类）共生产161袋，除去5袋用于检验，3袋用于留样，其余153袋已全部售出，现场无库存，未实施行政强制措施。本案于2021年11月23日经局领导审批予以立案调查，2022年1月20日调查终结。</w:t>
      </w:r>
    </w:p>
    <w:p>
      <w:pPr>
        <w:pStyle w:val="2"/>
        <w:tabs>
          <w:tab w:val="left" w:pos="8240"/>
        </w:tabs>
        <w:spacing w:line="480" w:lineRule="exact"/>
        <w:ind w:firstLine="640" w:firstLineChars="200"/>
        <w:jc w:val="both"/>
        <w:rPr>
          <w:rFonts w:ascii="Times New Roman" w:eastAsia="仿宋_GB2312" w:cs="仿宋_GB2312"/>
          <w:color w:val="000000"/>
          <w:u w:val="single"/>
        </w:rPr>
      </w:pPr>
      <w:r>
        <w:rPr>
          <w:rFonts w:hint="eastAsia" w:ascii="Times New Roman" w:eastAsia="仿宋_GB2312" w:cs="Mongolian Baiti"/>
          <w:kern w:val="1"/>
        </w:rPr>
        <w:t>经查，当事人2021年11月5日生产经营的银丝卷（无馅类）（净含量：480克（48克×10），保质期及贮藏条件：常温（20℃-25℃）3天 冷冻-18℃以下一年，制造商：天津星河永旺食品科技有限公司，执行标准：Q/06A2667S），经壹诺（天津）检测服务有限公司抽样检验，菌落总数、大肠菌群项目不符合Q/06A2667S-2018《面食制品》要求，检验结论为不合格。因检验结论为微生物指标不合格，不予受理复检，当事人对抽样过程、样品真实性、检验方法、判定依据等事项无异议。以上食品不符合标签声称的执行标准（Q/06A2667S-2018）, 与其标签所载明的内容不符，食品的标签含有虚假内容，上述行为满足生产经营标签不符合食品安全法规定的食品行为的构成要件。该批次银丝卷（无馅类）共生产161袋，其中5袋用于检验，3袋用于留样，其余153袋分别销售到华润静海店30袋，单价4.5元/袋，华润奥园店50袋，单价4.5元/袋，华润塘沽店20袋，单价4.5元/袋，物美大仓53袋，单价4.38元/袋。成本核算3.38元/袋。涉案批次产品共153袋，货值金额682.14元，违法所得165元。</w:t>
      </w:r>
    </w:p>
    <w:p>
      <w:pPr>
        <w:pStyle w:val="2"/>
        <w:tabs>
          <w:tab w:val="left" w:pos="8285"/>
        </w:tabs>
        <w:spacing w:line="480" w:lineRule="exact"/>
        <w:ind w:firstLine="640" w:firstLineChars="200"/>
        <w:jc w:val="both"/>
        <w:rPr>
          <w:rFonts w:ascii="Times New Roman" w:eastAsia="仿宋_GB2312" w:cs="Mongolian Baiti"/>
          <w:kern w:val="1"/>
        </w:rPr>
      </w:pPr>
      <w:r>
        <w:rPr>
          <w:rFonts w:ascii="Times New Roman" w:eastAsia="仿宋_GB2312" w:cs="Mongolian Baiti"/>
          <w:kern w:val="1"/>
        </w:rPr>
        <w:t>上述事实，主要有以下证据证明：</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1．当事人营业执照、食品生产许可证、法定代表人杨瑞萍身份证复印件；</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2．《食品安全抽样检验结果通知书》、《食品安全抽样检验复检和异议须知》、《食品安全抽样检验抽样单（非网络）》、《检验报告》；</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3．壹诺（天津）检测服务有限公司营业执照、检验检测机构资质认定证书及附表、抽样人员证书、食品检验员培训证书复印件；</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4．现场笔录、现场照片打印件；</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5．对被委托人赵升业的询问笔录、授权委托书、被委托人身份证复印件、银丝卷（无馅类）产品标签照片打印件、天津市食品安全企业标准Q/06A2667S-2018《面食制品》打印件；</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6．入库单、原辅料检验报告、原辅料检验原始记录、原辅料供应商资质、外检报告复印件；</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7．辅料配料记录卡、操作投料记录、醒发控制记录、关键控制点（蒸制控制）记录复印件、包材消毒记录、车间人员手部消毒表、内部计量仪器内检记录、生产线检查记录复印件；</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8．成品检验报告、成品检验原始记录、产品留样记录复印件；</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9．标准配方卡、成品库入库单、汇总单、送货单复印件、货值金额与违法所得计算表；</w:t>
      </w:r>
    </w:p>
    <w:p>
      <w:pPr>
        <w:pStyle w:val="2"/>
        <w:tabs>
          <w:tab w:val="left" w:pos="8285"/>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10．产品召回公告、张贴召回公告照片打印件、召回反馈说明、排查整改报告、《检验检测报告》。</w:t>
      </w:r>
    </w:p>
    <w:p>
      <w:pPr>
        <w:pStyle w:val="2"/>
        <w:tabs>
          <w:tab w:val="left" w:pos="8285"/>
        </w:tabs>
        <w:spacing w:line="480" w:lineRule="exact"/>
        <w:ind w:firstLine="640" w:firstLineChars="200"/>
        <w:jc w:val="both"/>
        <w:rPr>
          <w:color w:val="231F20"/>
        </w:rPr>
      </w:pPr>
      <w:r>
        <w:rPr>
          <w:rFonts w:hint="eastAsia" w:ascii="Times New Roman" w:eastAsia="仿宋_GB2312" w:cs="仿宋_GB2312"/>
          <w:color w:val="000000"/>
        </w:rPr>
        <w:t>本局于202</w:t>
      </w:r>
      <w:r>
        <w:rPr>
          <w:rFonts w:ascii="Times New Roman" w:eastAsia="仿宋_GB2312" w:cs="仿宋_GB2312"/>
          <w:color w:val="000000"/>
        </w:rPr>
        <w:t>2</w:t>
      </w:r>
      <w:r>
        <w:rPr>
          <w:rFonts w:hint="eastAsia" w:ascii="Times New Roman" w:eastAsia="仿宋_GB2312" w:cs="仿宋_GB2312"/>
          <w:color w:val="000000"/>
        </w:rPr>
        <w:t>年</w:t>
      </w:r>
      <w:r>
        <w:rPr>
          <w:rFonts w:ascii="Times New Roman" w:eastAsia="仿宋_GB2312" w:cs="仿宋_GB2312"/>
          <w:color w:val="000000"/>
        </w:rPr>
        <w:t>1</w:t>
      </w:r>
      <w:r>
        <w:rPr>
          <w:rFonts w:hint="eastAsia" w:ascii="Times New Roman" w:eastAsia="仿宋_GB2312" w:cs="仿宋_GB2312"/>
          <w:color w:val="000000"/>
        </w:rPr>
        <w:t>月</w:t>
      </w:r>
      <w:r>
        <w:rPr>
          <w:rFonts w:ascii="Times New Roman" w:eastAsia="仿宋_GB2312" w:cs="仿宋_GB2312"/>
          <w:color w:val="000000"/>
        </w:rPr>
        <w:t>29</w:t>
      </w:r>
      <w:r>
        <w:rPr>
          <w:rFonts w:hint="eastAsia" w:ascii="Times New Roman" w:eastAsia="仿宋_GB2312" w:cs="仿宋_GB2312"/>
          <w:color w:val="000000"/>
        </w:rPr>
        <w:t>日依法向当事人送达了《行政处罚告知书》（津辰市监罚告〔2021〕</w:t>
      </w:r>
      <w:r>
        <w:rPr>
          <w:rFonts w:ascii="Times New Roman" w:eastAsia="仿宋_GB2312" w:cs="仿宋_GB2312"/>
          <w:color w:val="000000"/>
        </w:rPr>
        <w:t>739</w:t>
      </w:r>
      <w:r>
        <w:rPr>
          <w:rFonts w:hint="eastAsia" w:ascii="Times New Roman" w:eastAsia="仿宋_GB2312" w:cs="仿宋_GB2312"/>
          <w:color w:val="000000"/>
        </w:rPr>
        <w:t xml:space="preserve">号），当事人未提出陈述、申辩意见。                            </w:t>
      </w:r>
    </w:p>
    <w:p>
      <w:pPr>
        <w:pStyle w:val="2"/>
        <w:tabs>
          <w:tab w:val="left" w:pos="8405"/>
        </w:tabs>
        <w:spacing w:line="480" w:lineRule="exact"/>
        <w:ind w:firstLine="627" w:firstLineChars="196"/>
        <w:jc w:val="both"/>
        <w:rPr>
          <w:rFonts w:ascii="Times New Roman" w:eastAsia="仿宋_GB2312" w:cs="仿宋_GB2312"/>
          <w:color w:val="000000"/>
          <w:u w:val="single"/>
        </w:rPr>
      </w:pPr>
      <w:r>
        <w:rPr>
          <w:rFonts w:hint="eastAsia" w:ascii="仿宋_GB2312" w:eastAsia="仿宋_GB2312" w:cs="Mongolian Baiti"/>
          <w:kern w:val="1"/>
        </w:rPr>
        <w:t>本局认为，当事人上述行为违反了《中华人民共和国食品安全法》第七十一条第一款“食品和食品添加剂的标签、说明书，不得含有虚假内容，不得涉及疾病预防、治疗功能。生产经营者对其提供的标签、说明书的内容负责。”、第三款“食品和食品添加剂与其标签、说明书的内容不符的，不得上市销售。”的规定，应依据《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的规定，对当事人给予行政处罚。</w:t>
      </w:r>
    </w:p>
    <w:p>
      <w:pPr>
        <w:pStyle w:val="2"/>
        <w:tabs>
          <w:tab w:val="left" w:pos="9060"/>
        </w:tabs>
        <w:spacing w:line="480" w:lineRule="exact"/>
        <w:ind w:firstLine="640" w:firstLineChars="200"/>
        <w:jc w:val="both"/>
        <w:rPr>
          <w:rFonts w:ascii="Times New Roman" w:eastAsia="仿宋_GB2312" w:cs="Mongolian Baiti"/>
          <w:kern w:val="1"/>
        </w:rPr>
      </w:pPr>
      <w:r>
        <w:rPr>
          <w:rFonts w:hint="eastAsia" w:ascii="Times New Roman" w:eastAsia="仿宋_GB2312" w:cs="Mongolian Baiti"/>
          <w:kern w:val="1"/>
        </w:rPr>
        <w:t>综上，当事人上述行为违反了《中华人民共和国食品安全法》第七十一条第一款的规定，依据《中华人民共和国食品安全法》第一百二十五条第一款第二项的规定，现责令当事人改正上述违法行为，并决定处罚如下：</w:t>
      </w:r>
    </w:p>
    <w:p>
      <w:pPr>
        <w:pStyle w:val="2"/>
        <w:tabs>
          <w:tab w:val="left" w:pos="9060"/>
        </w:tabs>
        <w:spacing w:line="480" w:lineRule="exact"/>
        <w:ind w:firstLine="640" w:firstLineChars="200"/>
        <w:rPr>
          <w:rFonts w:ascii="Times New Roman" w:eastAsia="仿宋_GB2312" w:cs="仿宋_GB2312"/>
          <w:color w:val="000000"/>
        </w:rPr>
      </w:pPr>
      <w:r>
        <w:rPr>
          <w:rFonts w:hint="eastAsia" w:ascii="Times New Roman" w:eastAsia="仿宋_GB2312" w:cs="仿宋_GB2312"/>
          <w:color w:val="000000"/>
        </w:rPr>
        <w:t>1.罚款27500元；</w:t>
      </w:r>
    </w:p>
    <w:p>
      <w:pPr>
        <w:pStyle w:val="2"/>
        <w:tabs>
          <w:tab w:val="left" w:pos="9060"/>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2.没收违法所得165元。</w:t>
      </w:r>
    </w:p>
    <w:p>
      <w:pPr>
        <w:pStyle w:val="2"/>
        <w:tabs>
          <w:tab w:val="left" w:pos="9060"/>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48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pStyle w:val="2"/>
        <w:tabs>
          <w:tab w:val="left" w:pos="8405"/>
        </w:tabs>
        <w:spacing w:line="480" w:lineRule="exact"/>
        <w:jc w:val="both"/>
        <w:rPr>
          <w:rFonts w:ascii="Times New Roman" w:eastAsia="仿宋_GB2312" w:cs="仿宋_GB2312"/>
          <w:color w:val="000000"/>
        </w:rPr>
      </w:pPr>
      <w:r>
        <w:rPr>
          <w:rFonts w:hint="eastAsia" w:ascii="仿宋_GB2312" w:hAnsi="方正仿宋_GBK" w:eastAsia="仿宋_GB2312"/>
          <w:b/>
          <w:color w:val="231F20"/>
        </w:rPr>
        <w:t xml:space="preserve"> </w:t>
      </w:r>
    </w:p>
    <w:p>
      <w:pPr>
        <w:spacing w:line="480" w:lineRule="exact"/>
        <w:ind w:right="640" w:firstLine="601"/>
        <w:jc w:val="right"/>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p>
    <w:p>
      <w:pPr>
        <w:spacing w:line="480" w:lineRule="exact"/>
        <w:ind w:right="640" w:firstLine="601"/>
        <w:jc w:val="right"/>
        <w:rPr>
          <w:rFonts w:hint="eastAsia" w:ascii="Times New Roman" w:hAnsi="Times New Roman" w:eastAsia="仿宋_GB2312" w:cs="仿宋_GB2312"/>
          <w:color w:val="000000"/>
          <w:sz w:val="32"/>
          <w:szCs w:val="32"/>
        </w:rPr>
      </w:pPr>
    </w:p>
    <w:p>
      <w:pPr>
        <w:spacing w:line="480" w:lineRule="exact"/>
        <w:ind w:right="640" w:firstLine="601"/>
        <w:jc w:val="right"/>
        <w:rPr>
          <w:rFonts w:hint="eastAsia" w:ascii="Times New Roman" w:hAnsi="Times New Roman" w:eastAsia="仿宋_GB2312" w:cs="仿宋_GB2312"/>
          <w:color w:val="000000"/>
          <w:sz w:val="32"/>
          <w:szCs w:val="32"/>
        </w:rPr>
      </w:pPr>
    </w:p>
    <w:p>
      <w:pPr>
        <w:spacing w:line="480" w:lineRule="exact"/>
        <w:ind w:right="640" w:firstLine="601"/>
        <w:jc w:val="right"/>
        <w:rPr>
          <w:rFonts w:hint="eastAsia" w:ascii="Times New Roman" w:hAnsi="Times New Roman" w:eastAsia="仿宋_GB2312" w:cs="仿宋_GB2312"/>
          <w:color w:val="000000"/>
          <w:sz w:val="32"/>
          <w:szCs w:val="32"/>
        </w:rPr>
      </w:pPr>
    </w:p>
    <w:p>
      <w:pPr>
        <w:spacing w:line="48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 xml:space="preserve">  天津市北辰区</w:t>
      </w:r>
      <w:r>
        <w:rPr>
          <w:rFonts w:hint="eastAsia" w:ascii="Times New Roman" w:hAnsi="Times New Roman" w:eastAsia="仿宋_GB2312" w:cs="仿宋"/>
          <w:color w:val="000000"/>
          <w:sz w:val="32"/>
          <w:szCs w:val="32"/>
        </w:rPr>
        <w:t xml:space="preserve">市场监督管理局            </w:t>
      </w:r>
    </w:p>
    <w:p>
      <w:pPr>
        <w:spacing w:line="480" w:lineRule="exact"/>
        <w:ind w:right="1280" w:firstLine="6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 xml:space="preserve">2022年2月11日    </w:t>
      </w:r>
    </w:p>
    <w:p>
      <w:pPr>
        <w:widowControl/>
        <w:snapToGrid w:val="0"/>
        <w:spacing w:line="520" w:lineRule="exact"/>
        <w:ind w:right="640"/>
        <w:jc w:val="center"/>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p>
    <w:p>
      <w:pPr>
        <w:widowControl/>
        <w:snapToGrid w:val="0"/>
        <w:spacing w:line="520" w:lineRule="exact"/>
        <w:ind w:right="640"/>
        <w:jc w:val="center"/>
        <w:rPr>
          <w:rFonts w:ascii="Times New Roman" w:hAnsi="Times New Roman" w:eastAsia="仿宋_GB2312" w:cs="仿宋_GB2312"/>
          <w:color w:val="000000"/>
          <w:sz w:val="32"/>
          <w:szCs w:val="32"/>
        </w:rPr>
      </w:pPr>
    </w:p>
    <w:p>
      <w:pPr>
        <w:spacing w:line="500" w:lineRule="exact"/>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51F9C"/>
    <w:rsid w:val="000E5E41"/>
    <w:rsid w:val="001439C5"/>
    <w:rsid w:val="001C0839"/>
    <w:rsid w:val="001D4924"/>
    <w:rsid w:val="001D55BA"/>
    <w:rsid w:val="002024FF"/>
    <w:rsid w:val="00237A95"/>
    <w:rsid w:val="002751A6"/>
    <w:rsid w:val="002911A6"/>
    <w:rsid w:val="002F4A3B"/>
    <w:rsid w:val="0031793A"/>
    <w:rsid w:val="003230C3"/>
    <w:rsid w:val="00385DC8"/>
    <w:rsid w:val="003E19D5"/>
    <w:rsid w:val="004167EA"/>
    <w:rsid w:val="00432D6F"/>
    <w:rsid w:val="0044442C"/>
    <w:rsid w:val="00450A04"/>
    <w:rsid w:val="00466AE2"/>
    <w:rsid w:val="004E582D"/>
    <w:rsid w:val="00510C2F"/>
    <w:rsid w:val="005437EF"/>
    <w:rsid w:val="00550621"/>
    <w:rsid w:val="00614B0E"/>
    <w:rsid w:val="006502CD"/>
    <w:rsid w:val="006772F8"/>
    <w:rsid w:val="006C38A8"/>
    <w:rsid w:val="006D4CE6"/>
    <w:rsid w:val="00792F08"/>
    <w:rsid w:val="007C1A0E"/>
    <w:rsid w:val="007F12B7"/>
    <w:rsid w:val="00850640"/>
    <w:rsid w:val="008D2FB5"/>
    <w:rsid w:val="008F3B1A"/>
    <w:rsid w:val="00AD660D"/>
    <w:rsid w:val="00AF18FA"/>
    <w:rsid w:val="00B47465"/>
    <w:rsid w:val="00C00665"/>
    <w:rsid w:val="00CB07B2"/>
    <w:rsid w:val="00CE38CE"/>
    <w:rsid w:val="00D34ADB"/>
    <w:rsid w:val="00DA471C"/>
    <w:rsid w:val="00E7248E"/>
    <w:rsid w:val="00EE32CA"/>
    <w:rsid w:val="00F95B1D"/>
    <w:rsid w:val="00FA5FA0"/>
    <w:rsid w:val="7FB7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正文文本 字符"/>
    <w:basedOn w:val="6"/>
    <w:semiHidden/>
    <w:qFormat/>
    <w:uiPriority w:val="99"/>
    <w:rPr>
      <w:rFonts w:ascii="Calibri" w:hAnsi="Calibri" w:eastAsia="宋体" w:cs="Times New Roman"/>
      <w:szCs w:val="24"/>
    </w:rPr>
  </w:style>
  <w:style w:type="character" w:customStyle="1" w:styleId="11">
    <w:name w:val="正文文本 字符1"/>
    <w:link w:val="2"/>
    <w:qFormat/>
    <w:uiPriority w:val="1"/>
    <w:rPr>
      <w:rFonts w:ascii="Arial Unicode MS" w:hAnsi="Times New Roman" w:eastAsia="Arial Unicode MS" w:cs="Times New Roman"/>
      <w:kern w:val="0"/>
      <w:sz w:val="32"/>
      <w:szCs w:val="32"/>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382</Words>
  <Characters>2179</Characters>
  <Lines>18</Lines>
  <Paragraphs>5</Paragraphs>
  <TotalTime>0</TotalTime>
  <ScaleCrop>false</ScaleCrop>
  <LinksUpToDate>false</LinksUpToDate>
  <CharactersWithSpaces>2556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dcterms:modified xsi:type="dcterms:W3CDTF">2022-02-15T16:27:15Z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