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lang w:eastAsia="zh-CN"/>
        </w:rPr>
        <w:t>天津市</w:t>
      </w:r>
      <w:r>
        <w:rPr>
          <w:rFonts w:hint="eastAsia" w:ascii="Times New Roman" w:hAnsi="Times New Roman" w:eastAsia="方正小标宋简体" w:cs="方正小标宋简体"/>
          <w:bCs/>
          <w:color w:val="000000"/>
          <w:sz w:val="44"/>
          <w:szCs w:val="44"/>
        </w:rPr>
        <w:t>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lang w:eastAsia="zh-CN"/>
        </w:rPr>
        <w:t>处罚</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lang w:val="en-US" w:eastAsia="zh-CN"/>
        </w:rPr>
        <w:t>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879</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Mongolian Baiti"/>
          <w:kern w:val="1"/>
          <w:sz w:val="32"/>
          <w:szCs w:val="32"/>
          <w:u w:val="none"/>
          <w:lang w:val="en-US" w:eastAsia="zh-CN"/>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仿宋_GB2312" w:hAnsi="Mongolian Baiti" w:eastAsia="仿宋_GB2312" w:cs="Mongolian Baiti"/>
          <w:kern w:val="1"/>
          <w:sz w:val="32"/>
          <w:szCs w:val="32"/>
          <w:u w:val="none"/>
          <w:lang w:eastAsia="zh-CN"/>
        </w:rPr>
        <w:t>天津市人人乐商业有限公司宜兴埠购物广场</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注册号：</w:t>
      </w:r>
      <w:r>
        <w:rPr>
          <w:rFonts w:hint="default" w:ascii="Times New Roman" w:hAnsi="Times New Roman" w:eastAsia="仿宋_GB2312" w:cs="Times New Roman"/>
          <w:kern w:val="1"/>
          <w:sz w:val="32"/>
          <w:szCs w:val="32"/>
          <w:u w:val="none"/>
          <w:lang w:val="en-US" w:eastAsia="zh-CN"/>
        </w:rPr>
        <w:t>911201136794012727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Mongolian Baiti"/>
          <w:kern w:val="1"/>
          <w:sz w:val="32"/>
          <w:szCs w:val="32"/>
          <w:u w:val="none"/>
        </w:rPr>
      </w:pPr>
      <w:r>
        <w:rPr>
          <w:rFonts w:hint="eastAsia" w:ascii="仿宋_GB2312" w:eastAsia="仿宋_GB2312" w:cs="仿宋_GB2312"/>
          <w:spacing w:val="-16"/>
          <w:sz w:val="32"/>
          <w:szCs w:val="32"/>
          <w:u w:val="none"/>
          <w:lang w:eastAsia="zh-CN"/>
        </w:rPr>
        <w:t xml:space="preserve">营业场所: </w:t>
      </w:r>
      <w:r>
        <w:rPr>
          <w:rFonts w:hint="eastAsia" w:ascii="仿宋_GB2312" w:hAnsi="Mongolian Baiti" w:eastAsia="仿宋_GB2312" w:cs="Mongolian Baiti"/>
          <w:kern w:val="1"/>
          <w:sz w:val="32"/>
          <w:szCs w:val="32"/>
          <w:u w:val="none"/>
          <w:lang w:val="en-US" w:eastAsia="zh-CN"/>
        </w:rPr>
        <w:t>北辰区宜白路与均胜路交口</w:t>
      </w:r>
      <w:r>
        <w:rPr>
          <w:rFonts w:hint="eastAsia" w:ascii="Times New Roman" w:hAnsi="Times New Roman" w:eastAsia="仿宋_GB2312" w:cs="Mongolian Baiti"/>
          <w:kern w:val="1"/>
          <w:sz w:val="32"/>
          <w:szCs w:val="32"/>
          <w:u w:val="none"/>
        </w:rPr>
        <w:t xml:space="preserve">   </w:t>
      </w:r>
      <w:r>
        <w:rPr>
          <w:rFonts w:hint="eastAsia" w:ascii="仿宋_GB2312" w:eastAsia="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仿宋_GB2312" w:eastAsia="仿宋_GB2312" w:cs="仿宋_GB2312"/>
          <w:spacing w:val="-16"/>
          <w:sz w:val="32"/>
          <w:szCs w:val="32"/>
          <w:u w:val="none"/>
          <w:lang w:eastAsia="zh-CN"/>
        </w:rPr>
        <w:t>负责人：</w:t>
      </w:r>
      <w:r>
        <w:rPr>
          <w:rFonts w:hint="eastAsia" w:ascii="仿宋_GB2312" w:hAnsi="Mongolian Baiti" w:eastAsia="仿宋_GB2312" w:cs="Mongolian Baiti"/>
          <w:kern w:val="1"/>
          <w:sz w:val="32"/>
          <w:szCs w:val="32"/>
          <w:u w:val="none"/>
          <w:lang w:eastAsia="zh-CN"/>
        </w:rPr>
        <w:t>张天水</w:t>
      </w:r>
      <w:r>
        <w:rPr>
          <w:rFonts w:hint="eastAsia" w:ascii="仿宋_GB2312"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rPr>
        <w:t>20</w:t>
      </w:r>
      <w:r>
        <w:rPr>
          <w:rFonts w:hint="eastAsia" w:ascii="仿宋_GB2312" w:hAnsi="仿宋" w:eastAsia="仿宋_GB2312"/>
          <w:sz w:val="32"/>
          <w:szCs w:val="32"/>
          <w:u w:val="none"/>
          <w:lang w:val="en-US" w:eastAsia="zh-CN"/>
        </w:rPr>
        <w:t>21</w:t>
      </w:r>
      <w:r>
        <w:rPr>
          <w:rFonts w:hint="eastAsia" w:ascii="仿宋_GB2312" w:hAnsi="仿宋" w:eastAsia="仿宋_GB2312"/>
          <w:sz w:val="32"/>
          <w:szCs w:val="32"/>
          <w:u w:val="none"/>
        </w:rPr>
        <w:t>年</w:t>
      </w:r>
      <w:r>
        <w:rPr>
          <w:rFonts w:hint="eastAsia" w:ascii="仿宋_GB2312" w:hAnsi="仿宋" w:eastAsia="仿宋_GB2312"/>
          <w:sz w:val="32"/>
          <w:szCs w:val="32"/>
          <w:u w:val="none"/>
          <w:lang w:val="en-US" w:eastAsia="zh-CN"/>
        </w:rPr>
        <w:t>10</w:t>
      </w:r>
      <w:r>
        <w:rPr>
          <w:rFonts w:hint="eastAsia" w:ascii="仿宋_GB2312" w:hAnsi="仿宋" w:eastAsia="仿宋_GB2312"/>
          <w:sz w:val="32"/>
          <w:szCs w:val="32"/>
          <w:u w:val="none"/>
        </w:rPr>
        <w:t>月</w:t>
      </w:r>
      <w:r>
        <w:rPr>
          <w:rFonts w:hint="eastAsia" w:ascii="仿宋_GB2312" w:hAnsi="仿宋" w:eastAsia="仿宋_GB2312"/>
          <w:sz w:val="32"/>
          <w:szCs w:val="32"/>
          <w:u w:val="none"/>
          <w:lang w:val="en-US" w:eastAsia="zh-CN"/>
        </w:rPr>
        <w:t>11</w:t>
      </w:r>
      <w:r>
        <w:rPr>
          <w:rFonts w:hint="eastAsia" w:ascii="仿宋_GB2312" w:hAnsi="仿宋" w:eastAsia="仿宋_GB2312"/>
          <w:sz w:val="32"/>
          <w:szCs w:val="32"/>
          <w:u w:val="none"/>
        </w:rPr>
        <w:t>日，我局</w:t>
      </w:r>
      <w:r>
        <w:rPr>
          <w:rFonts w:hint="eastAsia" w:ascii="仿宋_GB2312" w:hAnsi="仿宋" w:eastAsia="仿宋_GB2312"/>
          <w:sz w:val="32"/>
          <w:szCs w:val="32"/>
          <w:u w:val="none"/>
          <w:lang w:eastAsia="zh-CN"/>
        </w:rPr>
        <w:t>接举报称，举报人</w:t>
      </w:r>
      <w:r>
        <w:rPr>
          <w:rFonts w:hint="eastAsia" w:ascii="仿宋_GB2312" w:hAnsi="仿宋" w:eastAsia="仿宋_GB2312"/>
          <w:sz w:val="32"/>
          <w:szCs w:val="32"/>
          <w:u w:val="none"/>
          <w:lang w:val="en-US" w:eastAsia="zh-CN"/>
        </w:rPr>
        <w:t>于2021年10月10日</w:t>
      </w:r>
      <w:r>
        <w:rPr>
          <w:rFonts w:hint="eastAsia" w:ascii="仿宋_GB2312" w:hAnsi="仿宋" w:eastAsia="仿宋_GB2312"/>
          <w:sz w:val="32"/>
          <w:szCs w:val="32"/>
          <w:u w:val="none"/>
          <w:lang w:eastAsia="zh-CN"/>
        </w:rPr>
        <w:t>从当事人</w:t>
      </w:r>
      <w:r>
        <w:rPr>
          <w:rFonts w:hint="eastAsia" w:ascii="仿宋_GB2312" w:hAnsi="仿宋" w:eastAsia="仿宋_GB2312"/>
          <w:sz w:val="32"/>
          <w:szCs w:val="32"/>
          <w:u w:val="none"/>
          <w:lang w:val="en-US" w:eastAsia="zh-CN"/>
        </w:rPr>
        <w:t>天津市人人乐商业有限公司宜兴埠购物广场购买的10袋“郭秀青馒头”（规格：320g/袋，</w:t>
      </w:r>
      <w:r>
        <w:rPr>
          <w:rFonts w:hint="eastAsia" w:ascii="仿宋_GB2312" w:hAnsi="仿宋" w:eastAsia="仿宋_GB2312"/>
          <w:sz w:val="32"/>
          <w:szCs w:val="32"/>
          <w:u w:val="none"/>
          <w:lang w:eastAsia="zh-CN"/>
        </w:rPr>
        <w:t>生产日期：</w:t>
      </w:r>
      <w:r>
        <w:rPr>
          <w:rFonts w:hint="eastAsia" w:ascii="仿宋_GB2312" w:hAnsi="仿宋" w:eastAsia="仿宋_GB2312"/>
          <w:sz w:val="32"/>
          <w:szCs w:val="32"/>
          <w:u w:val="none"/>
          <w:lang w:val="en-US" w:eastAsia="zh-CN"/>
        </w:rPr>
        <w:t>2021.1.11</w:t>
      </w:r>
      <w:r>
        <w:rPr>
          <w:rFonts w:hint="eastAsia" w:ascii="仿宋_GB2312" w:hAnsi="仿宋" w:eastAsia="仿宋_GB2312"/>
          <w:sz w:val="32"/>
          <w:szCs w:val="32"/>
          <w:u w:val="none"/>
          <w:lang w:eastAsia="zh-CN"/>
        </w:rPr>
        <w:t>，保质期</w:t>
      </w:r>
      <w:r>
        <w:rPr>
          <w:rFonts w:hint="eastAsia" w:ascii="仿宋_GB2312" w:hAnsi="仿宋" w:eastAsia="仿宋_GB2312"/>
          <w:sz w:val="32"/>
          <w:szCs w:val="32"/>
          <w:u w:val="none"/>
          <w:lang w:val="en-US" w:eastAsia="zh-CN"/>
        </w:rPr>
        <w:t>270天）已超过包装标注保质期</w:t>
      </w:r>
      <w:r>
        <w:rPr>
          <w:rFonts w:hint="eastAsia" w:ascii="仿宋_GB2312" w:hAnsi="仿宋" w:eastAsia="仿宋_GB2312"/>
          <w:sz w:val="32"/>
          <w:szCs w:val="32"/>
          <w:u w:val="none"/>
          <w:lang w:eastAsia="zh-CN"/>
        </w:rPr>
        <w:t>，望核查处理。接举报后，我局执法人员于</w:t>
      </w:r>
      <w:r>
        <w:rPr>
          <w:rFonts w:hint="eastAsia" w:ascii="仿宋_GB2312" w:hAnsi="仿宋" w:eastAsia="仿宋_GB2312"/>
          <w:sz w:val="32"/>
          <w:szCs w:val="32"/>
          <w:u w:val="none"/>
          <w:lang w:val="en-US" w:eastAsia="zh-CN"/>
        </w:rPr>
        <w:t>当日</w:t>
      </w:r>
      <w:r>
        <w:rPr>
          <w:rFonts w:hint="eastAsia" w:ascii="仿宋_GB2312" w:hAnsi="仿宋" w:eastAsia="仿宋_GB2312"/>
          <w:sz w:val="32"/>
          <w:szCs w:val="32"/>
          <w:u w:val="none"/>
          <w:lang w:eastAsia="zh-CN"/>
        </w:rPr>
        <w:t>对</w:t>
      </w:r>
      <w:r>
        <w:rPr>
          <w:rFonts w:hint="eastAsia" w:ascii="仿宋_GB2312" w:hAnsi="仿宋" w:eastAsia="仿宋_GB2312"/>
          <w:sz w:val="32"/>
          <w:szCs w:val="32"/>
          <w:u w:val="none"/>
          <w:lang w:val="en-US" w:eastAsia="zh-CN"/>
        </w:rPr>
        <w:t>天津市人人乐商业有限公司宜兴埠购物广场</w:t>
      </w:r>
      <w:r>
        <w:rPr>
          <w:rFonts w:hint="eastAsia" w:ascii="仿宋_GB2312" w:hAnsi="仿宋" w:eastAsia="仿宋_GB2312"/>
          <w:sz w:val="32"/>
          <w:szCs w:val="32"/>
          <w:u w:val="none"/>
          <w:lang w:eastAsia="zh-CN"/>
        </w:rPr>
        <w:t>进行检查。检查过程中</w:t>
      </w:r>
      <w:r>
        <w:rPr>
          <w:rFonts w:hint="eastAsia" w:ascii="仿宋_GB2312" w:hAnsi="仿宋" w:eastAsia="仿宋_GB2312"/>
          <w:sz w:val="32"/>
          <w:szCs w:val="32"/>
          <w:u w:val="none"/>
          <w:lang w:val="en-US" w:eastAsia="zh-CN"/>
        </w:rPr>
        <w:t>执法人员</w:t>
      </w:r>
      <w:r>
        <w:rPr>
          <w:rFonts w:hint="eastAsia" w:ascii="仿宋_GB2312" w:hAnsi="仿宋" w:eastAsia="仿宋_GB2312"/>
          <w:sz w:val="32"/>
          <w:szCs w:val="32"/>
          <w:u w:val="none"/>
          <w:lang w:eastAsia="zh-CN"/>
        </w:rPr>
        <w:t>未发现举报人所称生产日期的</w:t>
      </w:r>
      <w:r>
        <w:rPr>
          <w:rFonts w:hint="eastAsia" w:ascii="仿宋_GB2312" w:hAnsi="仿宋" w:eastAsia="仿宋_GB2312"/>
          <w:sz w:val="32"/>
          <w:szCs w:val="32"/>
          <w:u w:val="none"/>
          <w:lang w:val="en-US" w:eastAsia="zh-CN"/>
        </w:rPr>
        <w:t>“郭秀青馒头”（规格：320g/袋，</w:t>
      </w:r>
      <w:r>
        <w:rPr>
          <w:rFonts w:hint="eastAsia" w:ascii="仿宋_GB2312" w:hAnsi="仿宋" w:eastAsia="仿宋_GB2312"/>
          <w:sz w:val="32"/>
          <w:szCs w:val="32"/>
          <w:u w:val="none"/>
          <w:lang w:eastAsia="zh-CN"/>
        </w:rPr>
        <w:t>生产日期：</w:t>
      </w:r>
      <w:r>
        <w:rPr>
          <w:rFonts w:hint="eastAsia" w:ascii="仿宋_GB2312" w:hAnsi="仿宋" w:eastAsia="仿宋_GB2312"/>
          <w:sz w:val="32"/>
          <w:szCs w:val="32"/>
          <w:u w:val="none"/>
          <w:lang w:val="en-US" w:eastAsia="zh-CN"/>
        </w:rPr>
        <w:t>2021.1.11</w:t>
      </w:r>
      <w:r>
        <w:rPr>
          <w:rFonts w:hint="eastAsia" w:ascii="仿宋_GB2312" w:hAnsi="仿宋" w:eastAsia="仿宋_GB2312"/>
          <w:sz w:val="32"/>
          <w:szCs w:val="32"/>
          <w:u w:val="none"/>
          <w:lang w:eastAsia="zh-CN"/>
        </w:rPr>
        <w:t>，保质期</w:t>
      </w:r>
      <w:r>
        <w:rPr>
          <w:rFonts w:hint="eastAsia" w:ascii="仿宋_GB2312" w:hAnsi="仿宋" w:eastAsia="仿宋_GB2312"/>
          <w:sz w:val="32"/>
          <w:szCs w:val="32"/>
          <w:u w:val="none"/>
          <w:lang w:val="en-US" w:eastAsia="zh-CN"/>
        </w:rPr>
        <w:t>270天）。当事人现场确认了由举报人提供的购买影像并承认之前销售过上述“郭秀青馒头”，举报内容属实，售出给举报人的产品已超过包装标注保质期。</w:t>
      </w:r>
      <w:r>
        <w:rPr>
          <w:rFonts w:hint="eastAsia" w:ascii="仿宋_GB2312" w:hAnsi="仿宋" w:eastAsia="仿宋_GB2312"/>
          <w:sz w:val="32"/>
          <w:szCs w:val="32"/>
          <w:u w:val="none"/>
          <w:lang w:eastAsia="zh-CN"/>
        </w:rPr>
        <w:t>当事人涉嫌经营超过保质期的袋装馒头食品。现场未实施行政强制措施，当事人无陈述、申辩。</w:t>
      </w:r>
      <w:r>
        <w:rPr>
          <w:rFonts w:hint="eastAsia" w:ascii="仿宋_GB2312" w:hAnsi="仿宋" w:eastAsia="仿宋_GB2312"/>
          <w:sz w:val="32"/>
          <w:szCs w:val="32"/>
          <w:u w:val="none"/>
          <w:lang w:val="en-US" w:eastAsia="zh-CN"/>
        </w:rPr>
        <w:t>同日</w:t>
      </w:r>
      <w:r>
        <w:rPr>
          <w:rFonts w:hint="eastAsia" w:ascii="仿宋_GB2312" w:hAnsi="仿宋" w:eastAsia="仿宋_GB2312"/>
          <w:sz w:val="32"/>
          <w:szCs w:val="32"/>
          <w:u w:val="none"/>
          <w:lang w:eastAsia="zh-CN"/>
        </w:rPr>
        <w:t>执法人员报经局领导批准，予以立案调查。</w:t>
      </w:r>
      <w:r>
        <w:rPr>
          <w:rFonts w:hint="eastAsia" w:ascii="仿宋_GB2312" w:hAnsi="仿宋" w:eastAsia="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olor w:val="000000"/>
          <w:sz w:val="32"/>
          <w:szCs w:val="32"/>
          <w:u w:val="none"/>
          <w:lang w:val="en-US" w:eastAsia="zh-CN"/>
        </w:rPr>
      </w:pPr>
      <w:r>
        <w:rPr>
          <w:rFonts w:hint="eastAsia" w:ascii="仿宋_GB2312" w:hAnsi="仿宋" w:eastAsia="仿宋_GB2312"/>
          <w:sz w:val="32"/>
          <w:szCs w:val="32"/>
          <w:u w:val="none"/>
          <w:lang w:val="en-US" w:eastAsia="zh-CN"/>
        </w:rPr>
        <w:t>当事人于2021年2月25日从供货商</w:t>
      </w:r>
      <w:r>
        <w:rPr>
          <w:rFonts w:hint="eastAsia" w:ascii="Times New Roman" w:hAnsi="Times New Roman" w:eastAsia="仿宋_GB2312" w:cs="Mongolian Baiti"/>
          <w:spacing w:val="-11"/>
          <w:sz w:val="32"/>
          <w:szCs w:val="32"/>
          <w:u w:val="none"/>
          <w:lang w:eastAsia="zh-CN"/>
        </w:rPr>
        <w:t>天津市宇盛旺达商贸有限公司</w:t>
      </w:r>
      <w:r>
        <w:rPr>
          <w:rFonts w:hint="eastAsia" w:ascii="仿宋_GB2312" w:hAnsi="仿宋" w:eastAsia="仿宋_GB2312"/>
          <w:sz w:val="32"/>
          <w:szCs w:val="32"/>
          <w:u w:val="none"/>
          <w:lang w:val="en-US" w:eastAsia="zh-CN"/>
        </w:rPr>
        <w:t>购进30袋“郭秀青馒头”（规格：320g/袋，</w:t>
      </w:r>
      <w:r>
        <w:rPr>
          <w:rFonts w:hint="eastAsia" w:ascii="仿宋_GB2312" w:hAnsi="仿宋" w:eastAsia="仿宋_GB2312"/>
          <w:sz w:val="32"/>
          <w:szCs w:val="32"/>
          <w:u w:val="none"/>
          <w:lang w:eastAsia="zh-CN"/>
        </w:rPr>
        <w:t>生产日期：</w:t>
      </w:r>
      <w:r>
        <w:rPr>
          <w:rFonts w:hint="eastAsia" w:ascii="仿宋_GB2312" w:hAnsi="仿宋" w:eastAsia="仿宋_GB2312"/>
          <w:sz w:val="32"/>
          <w:szCs w:val="32"/>
          <w:u w:val="none"/>
          <w:lang w:val="en-US" w:eastAsia="zh-CN"/>
        </w:rPr>
        <w:t>2021.1.11</w:t>
      </w:r>
      <w:r>
        <w:rPr>
          <w:rFonts w:hint="eastAsia" w:ascii="仿宋_GB2312" w:hAnsi="仿宋" w:eastAsia="仿宋_GB2312"/>
          <w:sz w:val="32"/>
          <w:szCs w:val="32"/>
          <w:u w:val="none"/>
          <w:lang w:eastAsia="zh-CN"/>
        </w:rPr>
        <w:t>，保质期</w:t>
      </w:r>
      <w:r>
        <w:rPr>
          <w:rFonts w:hint="eastAsia" w:ascii="仿宋_GB2312" w:hAnsi="仿宋" w:eastAsia="仿宋_GB2312"/>
          <w:sz w:val="32"/>
          <w:szCs w:val="32"/>
          <w:u w:val="none"/>
          <w:lang w:val="en-US" w:eastAsia="zh-CN"/>
        </w:rPr>
        <w:t>270天，购进价格为14.5元/袋）置于场所内待售。自保质期满之日至执法人员检查期间共售出10袋上述“郭秀青馒头”，因价格变动，产品过保质期销售期间售价为9.9元/袋。上述行为满足经营超过保质期的食品构成要件。本案货值金额99元，无违法所得。</w:t>
      </w:r>
      <w:r>
        <w:rPr>
          <w:rFonts w:hint="eastAsia" w:ascii="仿宋_GB2312" w:hAnsi="仿宋" w:eastAsia="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
          <w:bCs/>
          <w:color w:val="000000"/>
          <w:sz w:val="32"/>
          <w:szCs w:val="32"/>
          <w:u w:val="none"/>
          <w:lang w:val="en-US" w:eastAsia="zh-CN"/>
        </w:rPr>
      </w:pPr>
      <w:r>
        <w:rPr>
          <w:rFonts w:hint="eastAsia" w:ascii="Times New Roman" w:hAnsi="Times New Roman" w:eastAsia="仿宋_GB2312" w:cs="仿宋"/>
          <w:color w:val="000000"/>
          <w:sz w:val="32"/>
          <w:szCs w:val="32"/>
          <w:u w:val="none"/>
        </w:rPr>
        <w:t>上述事实，主要有以下证据证明：1.</w:t>
      </w:r>
      <w:r>
        <w:rPr>
          <w:rFonts w:hint="eastAsia" w:ascii="仿宋_GB2312" w:eastAsia="仿宋_GB2312"/>
          <w:sz w:val="32"/>
          <w:szCs w:val="32"/>
          <w:u w:val="none"/>
        </w:rPr>
        <w:t>当事人的营业执照、食品经营许可证复印件、</w:t>
      </w:r>
      <w:r>
        <w:rPr>
          <w:rFonts w:hint="eastAsia" w:ascii="仿宋_GB2312" w:eastAsia="仿宋_GB2312"/>
          <w:sz w:val="32"/>
          <w:szCs w:val="32"/>
          <w:u w:val="none"/>
          <w:lang w:eastAsia="zh-CN"/>
        </w:rPr>
        <w:t>负责人张天水</w:t>
      </w:r>
      <w:r>
        <w:rPr>
          <w:rFonts w:hint="eastAsia" w:ascii="仿宋_GB2312" w:eastAsia="仿宋_GB2312"/>
          <w:sz w:val="32"/>
          <w:szCs w:val="32"/>
          <w:u w:val="none"/>
        </w:rPr>
        <w:t>身份证复印件</w:t>
      </w:r>
      <w:r>
        <w:rPr>
          <w:rFonts w:hint="eastAsia" w:ascii="Times New Roman" w:hAnsi="Times New Roman" w:eastAsia="仿宋_GB2312" w:cs="仿宋"/>
          <w:color w:val="000000"/>
          <w:sz w:val="32"/>
          <w:szCs w:val="32"/>
          <w:u w:val="none"/>
        </w:rPr>
        <w:t>；2</w:t>
      </w:r>
      <w:r>
        <w:rPr>
          <w:rFonts w:hint="eastAsia" w:ascii="仿宋_GB2312" w:eastAsia="仿宋_GB2312"/>
          <w:sz w:val="32"/>
          <w:szCs w:val="32"/>
          <w:u w:val="none"/>
        </w:rPr>
        <w:t>现场笔录</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2021年10月11日</w:t>
      </w:r>
      <w:r>
        <w:rPr>
          <w:rFonts w:hint="eastAsia" w:ascii="仿宋_GB2312" w:eastAsia="仿宋_GB2312"/>
          <w:sz w:val="32"/>
          <w:szCs w:val="32"/>
          <w:u w:val="none"/>
          <w:lang w:eastAsia="zh-CN"/>
        </w:rPr>
        <w:t>）</w:t>
      </w:r>
      <w:r>
        <w:rPr>
          <w:rFonts w:hint="eastAsia" w:ascii="仿宋_GB2312" w:eastAsia="仿宋_GB2312"/>
          <w:sz w:val="32"/>
          <w:szCs w:val="32"/>
          <w:u w:val="none"/>
        </w:rPr>
        <w:t>、现场照片</w:t>
      </w:r>
      <w:r>
        <w:rPr>
          <w:rFonts w:hint="eastAsia" w:ascii="Times New Roman" w:hAnsi="Times New Roman" w:eastAsia="仿宋_GB2312" w:cs="仿宋"/>
          <w:color w:val="000000"/>
          <w:sz w:val="32"/>
          <w:szCs w:val="32"/>
          <w:u w:val="none"/>
        </w:rPr>
        <w:t>；3.</w:t>
      </w:r>
      <w:r>
        <w:rPr>
          <w:rFonts w:hint="eastAsia" w:ascii="仿宋_GB2312" w:eastAsia="仿宋_GB2312"/>
          <w:sz w:val="32"/>
          <w:szCs w:val="32"/>
          <w:u w:val="none"/>
          <w:lang w:eastAsia="zh-CN"/>
        </w:rPr>
        <w:t>授权委托书、被委托人杨洁身份证复印件、对被委托人杨洁的询问笔录</w:t>
      </w:r>
      <w:r>
        <w:rPr>
          <w:rFonts w:hint="eastAsia" w:ascii="Times New Roman" w:hAnsi="Times New Roman" w:eastAsia="仿宋_GB2312" w:cs="仿宋"/>
          <w:color w:val="000000"/>
          <w:sz w:val="32"/>
          <w:szCs w:val="32"/>
          <w:u w:val="none"/>
        </w:rPr>
        <w:t>；4.</w:t>
      </w:r>
      <w:r>
        <w:rPr>
          <w:rFonts w:hint="eastAsia" w:ascii="仿宋_GB2312" w:eastAsia="仿宋_GB2312"/>
          <w:sz w:val="32"/>
          <w:szCs w:val="32"/>
          <w:u w:val="none"/>
          <w:lang w:eastAsia="zh-CN"/>
        </w:rPr>
        <w:t>袋装馒头食品</w:t>
      </w:r>
      <w:r>
        <w:rPr>
          <w:rFonts w:hint="eastAsia" w:ascii="仿宋_GB2312" w:eastAsia="仿宋_GB2312"/>
          <w:sz w:val="32"/>
          <w:szCs w:val="32"/>
          <w:u w:val="none"/>
        </w:rPr>
        <w:t>货值金额</w:t>
      </w:r>
      <w:r>
        <w:rPr>
          <w:rFonts w:hint="eastAsia" w:ascii="仿宋_GB2312" w:eastAsia="仿宋_GB2312"/>
          <w:sz w:val="32"/>
          <w:szCs w:val="32"/>
          <w:u w:val="none"/>
          <w:lang w:eastAsia="zh-CN"/>
        </w:rPr>
        <w:t>、违法所得</w:t>
      </w:r>
      <w:r>
        <w:rPr>
          <w:rFonts w:hint="eastAsia" w:ascii="仿宋_GB2312" w:eastAsia="仿宋_GB2312"/>
          <w:sz w:val="32"/>
          <w:szCs w:val="32"/>
          <w:u w:val="none"/>
        </w:rPr>
        <w:t>计算说明</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5.举报人提供的购买到过期食品的影像材料；6.当事人提供的过期食品供货商资质和购进验收记录、销售记录。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本局于</w:t>
      </w:r>
      <w:r>
        <w:rPr>
          <w:rFonts w:hint="eastAsia" w:ascii="Times New Roman" w:hAnsi="Times New Roman" w:eastAsia="仿宋_GB2312" w:cs="仿宋"/>
          <w:bCs/>
          <w:color w:val="000000" w:themeColor="text1"/>
          <w:sz w:val="32"/>
          <w:szCs w:val="32"/>
          <w:u w:val="none"/>
          <w14:textFill>
            <w14:solidFill>
              <w14:schemeClr w14:val="tx1"/>
            </w14:solidFill>
          </w14:textFill>
        </w:rPr>
        <w:t>20</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21</w:t>
      </w:r>
      <w:r>
        <w:rPr>
          <w:rFonts w:hint="eastAsia" w:ascii="Times New Roman" w:hAnsi="Times New Roman" w:eastAsia="仿宋_GB2312" w:cs="仿宋"/>
          <w:bCs/>
          <w:color w:val="000000" w:themeColor="text1"/>
          <w:sz w:val="32"/>
          <w:szCs w:val="32"/>
          <w:u w:val="none"/>
          <w14:textFill>
            <w14:solidFill>
              <w14:schemeClr w14:val="tx1"/>
            </w14:solidFill>
          </w14:textFill>
        </w:rPr>
        <w:t>年</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12</w:t>
      </w:r>
      <w:r>
        <w:rPr>
          <w:rFonts w:hint="eastAsia" w:ascii="Times New Roman" w:hAnsi="Times New Roman" w:eastAsia="仿宋_GB2312" w:cs="仿宋"/>
          <w:bCs/>
          <w:color w:val="000000" w:themeColor="text1"/>
          <w:sz w:val="32"/>
          <w:szCs w:val="32"/>
          <w:u w:val="none"/>
          <w14:textFill>
            <w14:solidFill>
              <w14:schemeClr w14:val="tx1"/>
            </w14:solidFill>
          </w14:textFill>
        </w:rPr>
        <w:t>月</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24</w:t>
      </w:r>
      <w:r>
        <w:rPr>
          <w:rFonts w:hint="eastAsia" w:ascii="Times New Roman" w:hAnsi="Times New Roman" w:eastAsia="仿宋_GB2312" w:cs="仿宋"/>
          <w:bCs/>
          <w:color w:val="000000" w:themeColor="text1"/>
          <w:sz w:val="32"/>
          <w:szCs w:val="32"/>
          <w:u w:val="none"/>
          <w14:textFill>
            <w14:solidFill>
              <w14:schemeClr w14:val="tx1"/>
            </w14:solidFill>
          </w14:textFill>
        </w:rPr>
        <w:t>日</w:t>
      </w:r>
      <w:r>
        <w:rPr>
          <w:rFonts w:hint="eastAsia" w:ascii="Times New Roman" w:hAnsi="Times New Roman" w:eastAsia="仿宋_GB2312" w:cs="仿宋"/>
          <w:bCs/>
          <w:color w:val="000000"/>
          <w:sz w:val="32"/>
          <w:szCs w:val="32"/>
          <w:u w:val="none"/>
        </w:rPr>
        <w:t>依法向当事人送达了《行政处罚告知书》（津辰市监罚告〔20</w:t>
      </w:r>
      <w:r>
        <w:rPr>
          <w:rFonts w:hint="eastAsia" w:ascii="Times New Roman" w:hAnsi="Times New Roman" w:eastAsia="仿宋_GB2312" w:cs="仿宋"/>
          <w:bCs/>
          <w:color w:val="000000"/>
          <w:sz w:val="32"/>
          <w:szCs w:val="32"/>
          <w:u w:val="none"/>
          <w:lang w:val="en-US" w:eastAsia="zh-CN"/>
        </w:rPr>
        <w:t>21</w:t>
      </w:r>
      <w:r>
        <w:rPr>
          <w:rFonts w:hint="eastAsia" w:ascii="Times New Roman" w:hAnsi="Times New Roman" w:eastAsia="仿宋_GB2312" w:cs="仿宋"/>
          <w:bCs/>
          <w:color w:val="000000"/>
          <w:sz w:val="32"/>
          <w:szCs w:val="32"/>
          <w:u w:val="none"/>
        </w:rPr>
        <w:t>〕</w:t>
      </w:r>
      <w:r>
        <w:rPr>
          <w:rFonts w:hint="eastAsia" w:ascii="Times New Roman" w:hAnsi="Times New Roman" w:eastAsia="仿宋_GB2312" w:cs="仿宋"/>
          <w:bCs/>
          <w:color w:val="000000"/>
          <w:sz w:val="32"/>
          <w:szCs w:val="32"/>
          <w:u w:val="none"/>
          <w:lang w:val="en-US" w:eastAsia="zh-CN"/>
        </w:rPr>
        <w:t>879</w:t>
      </w:r>
      <w:r>
        <w:rPr>
          <w:rFonts w:hint="eastAsia" w:ascii="Times New Roman" w:hAnsi="Times New Roman" w:eastAsia="仿宋_GB2312" w:cs="仿宋"/>
          <w:bCs/>
          <w:color w:val="000000"/>
          <w:sz w:val="32"/>
          <w:szCs w:val="32"/>
          <w:u w:val="none"/>
        </w:rPr>
        <w:t>号），当事人未提出陈述申辩意见。</w:t>
      </w:r>
    </w:p>
    <w:p>
      <w:pPr>
        <w:spacing w:line="500" w:lineRule="exact"/>
        <w:ind w:firstLine="640" w:firstLineChars="200"/>
        <w:rPr>
          <w:rFonts w:hint="eastAsia" w:ascii="仿宋_GB2312" w:eastAsia="仿宋_GB2312" w:cs="仿宋_GB2312"/>
          <w:sz w:val="32"/>
          <w:szCs w:val="32"/>
          <w:u w:val="none"/>
          <w:lang w:val="en-US" w:eastAsia="zh-CN"/>
        </w:rPr>
      </w:pPr>
      <w:r>
        <w:rPr>
          <w:rFonts w:hint="eastAsia" w:ascii="仿宋_GB2312" w:hAnsi="楷体_GB2312" w:eastAsia="仿宋_GB2312" w:cs="楷体_GB2312"/>
          <w:color w:val="000000"/>
          <w:sz w:val="32"/>
          <w:szCs w:val="32"/>
          <w:u w:val="none"/>
        </w:rPr>
        <w:t>本局认为，</w:t>
      </w:r>
      <w:r>
        <w:rPr>
          <w:rFonts w:hint="eastAsia" w:ascii="仿宋_GB2312" w:eastAsia="仿宋_GB2312" w:cs="仿宋_GB2312"/>
          <w:sz w:val="32"/>
          <w:szCs w:val="32"/>
          <w:u w:val="none"/>
        </w:rPr>
        <w:t>当事人上述行为违反了</w:t>
      </w:r>
      <w:r>
        <w:rPr>
          <w:rFonts w:hint="eastAsia" w:ascii="仿宋_GB2312" w:hAnsi="仿宋" w:eastAsia="仿宋_GB2312"/>
          <w:sz w:val="32"/>
          <w:szCs w:val="32"/>
          <w:u w:val="none"/>
        </w:rPr>
        <w:t>《中华人民共和国食品安全法》第三十四条第十项：“禁止生产经营下列食品、食品添加剂、食品相关产品：（十）标注虚假生产日期、保质期或者超过保质期的食品、食品添加剂”的规定。</w:t>
      </w:r>
      <w:r>
        <w:rPr>
          <w:rFonts w:hint="eastAsia" w:ascii="仿宋_GB2312" w:hAnsi="宋体" w:eastAsia="仿宋_GB2312" w:cs="宋体"/>
          <w:color w:val="212121"/>
          <w:kern w:val="0"/>
          <w:sz w:val="32"/>
          <w:szCs w:val="32"/>
          <w:u w:val="none"/>
          <w:lang w:eastAsia="zh-CN"/>
        </w:rPr>
        <w:t>鉴于</w:t>
      </w:r>
      <w:r>
        <w:rPr>
          <w:rFonts w:hint="eastAsia" w:ascii="仿宋_GB2312" w:hAnsi="宋体" w:eastAsia="仿宋_GB2312" w:cs="宋体"/>
          <w:color w:val="212121"/>
          <w:kern w:val="0"/>
          <w:sz w:val="32"/>
          <w:szCs w:val="32"/>
          <w:u w:val="none"/>
        </w:rPr>
        <w:t>当事人无</w:t>
      </w:r>
      <w:r>
        <w:rPr>
          <w:rFonts w:hint="eastAsia" w:ascii="仿宋_GB2312" w:hAnsi="宋体" w:eastAsia="仿宋_GB2312" w:cs="宋体"/>
          <w:color w:val="212121"/>
          <w:kern w:val="0"/>
          <w:sz w:val="32"/>
          <w:szCs w:val="32"/>
          <w:u w:val="none"/>
          <w:lang w:eastAsia="zh-CN"/>
        </w:rPr>
        <w:t>主观</w:t>
      </w:r>
      <w:r>
        <w:rPr>
          <w:rFonts w:hint="eastAsia" w:ascii="仿宋_GB2312" w:hAnsi="宋体" w:eastAsia="仿宋_GB2312" w:cs="宋体"/>
          <w:color w:val="212121"/>
          <w:kern w:val="0"/>
          <w:sz w:val="32"/>
          <w:szCs w:val="32"/>
          <w:u w:val="none"/>
        </w:rPr>
        <w:t>故意，并在案发</w:t>
      </w:r>
      <w:r>
        <w:rPr>
          <w:rFonts w:hint="eastAsia" w:ascii="仿宋_GB2312" w:hAnsi="仿宋" w:eastAsia="仿宋_GB2312"/>
          <w:color w:val="000000"/>
          <w:sz w:val="32"/>
          <w:szCs w:val="32"/>
          <w:u w:val="none"/>
        </w:rPr>
        <w:t>后</w:t>
      </w:r>
      <w:r>
        <w:rPr>
          <w:rFonts w:hint="eastAsia" w:ascii="仿宋_GB2312" w:hAnsi="仿宋" w:eastAsia="仿宋_GB2312"/>
          <w:sz w:val="32"/>
          <w:szCs w:val="32"/>
          <w:u w:val="none"/>
          <w:lang w:eastAsia="zh-CN"/>
        </w:rPr>
        <w:t>积极</w:t>
      </w:r>
      <w:r>
        <w:rPr>
          <w:rFonts w:hint="eastAsia" w:ascii="仿宋_GB2312" w:hAnsi="仿宋" w:eastAsia="仿宋_GB2312"/>
          <w:sz w:val="32"/>
          <w:szCs w:val="32"/>
          <w:u w:val="none"/>
        </w:rPr>
        <w:t>整改，</w:t>
      </w:r>
      <w:r>
        <w:rPr>
          <w:rStyle w:val="4"/>
          <w:rFonts w:hint="eastAsia" w:ascii="仿宋_GB2312" w:hAnsi="仿宋" w:eastAsia="仿宋_GB2312" w:cs="Arial"/>
          <w:i w:val="0"/>
          <w:iCs w:val="0"/>
          <w:sz w:val="32"/>
          <w:szCs w:val="32"/>
          <w:u w:val="none"/>
          <w:shd w:val="clear" w:color="auto" w:fill="FFFFFF"/>
        </w:rPr>
        <w:t>配合案件调查</w:t>
      </w:r>
      <w:r>
        <w:rPr>
          <w:rFonts w:hint="eastAsia" w:ascii="仿宋_GB2312" w:hAnsi="仿宋" w:eastAsia="仿宋_GB2312"/>
          <w:sz w:val="32"/>
          <w:szCs w:val="32"/>
          <w:u w:val="none"/>
        </w:rPr>
        <w:t>，</w:t>
      </w:r>
      <w:r>
        <w:rPr>
          <w:rFonts w:hint="eastAsia" w:ascii="仿宋_GB2312" w:eastAsia="仿宋_GB2312" w:cs="仿宋_GB2312"/>
          <w:bCs/>
          <w:sz w:val="32"/>
          <w:szCs w:val="32"/>
          <w:u w:val="none"/>
          <w:lang w:eastAsia="zh-CN"/>
        </w:rPr>
        <w:t>符合</w:t>
      </w:r>
      <w:r>
        <w:rPr>
          <w:rFonts w:hint="eastAsia" w:ascii="仿宋_GB2312" w:eastAsia="仿宋_GB2312" w:cs="仿宋_GB2312"/>
          <w:bCs/>
          <w:sz w:val="32"/>
          <w:szCs w:val="32"/>
          <w:u w:val="none"/>
        </w:rPr>
        <w:t>《</w:t>
      </w:r>
      <w:r>
        <w:rPr>
          <w:rFonts w:hint="eastAsia" w:ascii="仿宋_GB2312" w:eastAsia="仿宋_GB2312" w:cs="仿宋_GB2312"/>
          <w:bCs/>
          <w:sz w:val="32"/>
          <w:szCs w:val="32"/>
          <w:u w:val="none"/>
          <w:lang w:val="zh-CN"/>
        </w:rPr>
        <w:t>市场监管总局关于规范市场监督管理行政处罚裁量权的指导意见</w:t>
      </w:r>
      <w:r>
        <w:rPr>
          <w:rFonts w:hint="eastAsia" w:ascii="仿宋_GB2312" w:eastAsia="仿宋_GB2312" w:cs="仿宋_GB2312"/>
          <w:bCs/>
          <w:sz w:val="32"/>
          <w:szCs w:val="32"/>
          <w:u w:val="none"/>
        </w:rPr>
        <w:t>》</w:t>
      </w:r>
      <w:r>
        <w:rPr>
          <w:rFonts w:hint="eastAsia" w:ascii="仿宋_GB2312" w:eastAsia="仿宋_GB2312" w:cs="仿宋_GB2312"/>
          <w:bCs/>
          <w:sz w:val="32"/>
          <w:szCs w:val="32"/>
          <w:u w:val="none"/>
          <w:lang w:eastAsia="zh-CN"/>
        </w:rPr>
        <w:t>第（七）行政处罚裁量情形</w:t>
      </w:r>
      <w:r>
        <w:rPr>
          <w:rFonts w:hint="eastAsia" w:ascii="仿宋_GB2312" w:eastAsia="仿宋_GB2312" w:cs="仿宋_GB2312"/>
          <w:bCs/>
          <w:sz w:val="32"/>
          <w:szCs w:val="32"/>
          <w:u w:val="none"/>
          <w:lang w:val="en-US" w:eastAsia="zh-CN"/>
        </w:rPr>
        <w:t>3.（1）内容论述，</w:t>
      </w:r>
      <w:r>
        <w:rPr>
          <w:rFonts w:hint="eastAsia" w:ascii="仿宋_GB2312" w:eastAsia="仿宋_GB2312" w:cs="仿宋_GB2312"/>
          <w:bCs/>
          <w:sz w:val="32"/>
          <w:szCs w:val="32"/>
          <w:u w:val="none"/>
        </w:rPr>
        <w:t>应依据《中华人民共和国行政处罚法》第</w:t>
      </w:r>
      <w:r>
        <w:rPr>
          <w:rFonts w:hint="eastAsia" w:ascii="仿宋_GB2312" w:eastAsia="仿宋_GB2312" w:cs="仿宋_GB2312"/>
          <w:bCs/>
          <w:sz w:val="32"/>
          <w:szCs w:val="32"/>
          <w:u w:val="none"/>
          <w:lang w:eastAsia="zh-CN"/>
        </w:rPr>
        <w:t>三十二条第五项</w:t>
      </w:r>
      <w:r>
        <w:rPr>
          <w:rFonts w:hint="eastAsia" w:ascii="仿宋_GB2312" w:eastAsia="仿宋_GB2312" w:cs="仿宋_GB2312"/>
          <w:bCs/>
          <w:sz w:val="32"/>
          <w:szCs w:val="32"/>
          <w:u w:val="none"/>
        </w:rPr>
        <w:t>和《天津市市场和质量监督管理委员会行政处罚裁量适用规则》第十三条第五项、第九项的规定予以减轻处罚。</w:t>
      </w:r>
      <w:r>
        <w:rPr>
          <w:rFonts w:hint="eastAsia" w:ascii="仿宋_GB2312" w:eastAsia="仿宋_GB2312" w:cs="仿宋_GB2312"/>
          <w:sz w:val="32"/>
          <w:szCs w:val="32"/>
          <w:u w:val="none"/>
          <w:lang w:val="en-US" w:eastAsia="zh-CN"/>
        </w:rPr>
        <w:t xml:space="preserve">  </w:t>
      </w:r>
    </w:p>
    <w:p>
      <w:pPr>
        <w:spacing w:line="520" w:lineRule="exact"/>
        <w:ind w:firstLine="640" w:firstLineChars="200"/>
        <w:rPr>
          <w:rFonts w:ascii="Times New Roman" w:hAnsi="Times New Roman" w:eastAsia="仿宋_GB2312" w:cs="仿宋_GB2312"/>
          <w:bCs/>
          <w:sz w:val="32"/>
          <w:szCs w:val="32"/>
          <w:u w:val="single"/>
        </w:rPr>
      </w:pPr>
      <w:r>
        <w:rPr>
          <w:rFonts w:hint="eastAsia" w:ascii="仿宋_GB2312" w:hAnsi="楷体_GB2312" w:eastAsia="仿宋_GB2312" w:cs="楷体_GB2312"/>
          <w:color w:val="000000"/>
          <w:sz w:val="32"/>
          <w:szCs w:val="32"/>
          <w:u w:val="none"/>
        </w:rPr>
        <w:t>依据《中华人民共和国食品安全法》第一百二十四条第一款第五项：“违反本法规定，有下列情形之一，尚不构成犯罪的，由县级以上人民政府</w:t>
      </w:r>
      <w:r>
        <w:rPr>
          <w:rFonts w:hint="eastAsia" w:ascii="仿宋_GB2312" w:hAnsi="楷体_GB2312" w:eastAsia="仿宋_GB2312" w:cs="楷体_GB2312"/>
          <w:bCs/>
          <w:color w:val="000000"/>
          <w:sz w:val="32"/>
          <w:szCs w:val="32"/>
          <w:u w:val="none"/>
        </w:rPr>
        <w:t>食品安全</w:t>
      </w:r>
      <w:r>
        <w:rPr>
          <w:rFonts w:hint="eastAsia" w:ascii="仿宋_GB2312" w:hAnsi="楷体_GB2312" w:eastAsia="仿宋_GB2312" w:cs="楷体_GB2312"/>
          <w:color w:val="000000"/>
          <w:sz w:val="32"/>
          <w:szCs w:val="32"/>
          <w:u w:val="none"/>
        </w:rPr>
        <w:t>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w:t>
      </w:r>
      <w:r>
        <w:rPr>
          <w:rFonts w:hint="eastAsia" w:ascii="仿宋_GB2312" w:hAnsi="楷体_GB2312" w:eastAsia="仿宋_GB2312" w:cs="楷体_GB2312"/>
          <w:bCs/>
          <w:color w:val="000000"/>
          <w:sz w:val="32"/>
          <w:szCs w:val="32"/>
          <w:u w:val="none"/>
        </w:rPr>
        <w:t xml:space="preserve"> 的规定，</w:t>
      </w:r>
      <w:r>
        <w:rPr>
          <w:rFonts w:hint="eastAsia" w:ascii="仿宋_GB2312" w:eastAsia="仿宋_GB2312" w:cs="仿宋_GB2312"/>
          <w:bCs/>
          <w:sz w:val="32"/>
          <w:szCs w:val="32"/>
          <w:u w:val="none"/>
        </w:rPr>
        <w:t>对当事人给予以下行政处罚：</w:t>
      </w:r>
      <w:r>
        <w:rPr>
          <w:rFonts w:hint="eastAsia" w:ascii="仿宋_GB2312" w:hAnsi="仿宋" w:eastAsia="仿宋_GB2312"/>
          <w:sz w:val="32"/>
          <w:szCs w:val="32"/>
          <w:u w:val="none"/>
        </w:rPr>
        <w:t>罚款</w:t>
      </w:r>
      <w:r>
        <w:rPr>
          <w:rFonts w:hint="eastAsia" w:ascii="仿宋_GB2312" w:hAnsi="仿宋" w:eastAsia="仿宋_GB2312"/>
          <w:color w:val="000000"/>
          <w:sz w:val="32"/>
          <w:szCs w:val="32"/>
          <w:u w:val="none"/>
          <w:lang w:val="en-US" w:eastAsia="zh-CN"/>
        </w:rPr>
        <w:t>10000</w:t>
      </w:r>
      <w:r>
        <w:rPr>
          <w:rFonts w:hint="eastAsia" w:ascii="仿宋_GB2312" w:hAnsi="仿宋" w:eastAsia="仿宋_GB2312"/>
          <w:sz w:val="32"/>
          <w:szCs w:val="32"/>
          <w:u w:val="none"/>
        </w:rPr>
        <w:t>元</w:t>
      </w:r>
      <w:r>
        <w:rPr>
          <w:rFonts w:hint="eastAsia" w:ascii="仿宋_GB2312" w:hAnsi="仿宋"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w:t>
      </w:r>
      <w:r>
        <w:rPr>
          <w:rFonts w:hint="eastAsia" w:ascii="仿宋_GB2312" w:hAnsi="楷体_GB2312" w:eastAsia="仿宋_GB2312" w:cs="楷体_GB2312"/>
          <w:color w:val="000000"/>
          <w:sz w:val="32"/>
          <w:szCs w:val="32"/>
          <w:u w:val="none"/>
          <w:lang w:eastAsia="zh-CN"/>
        </w:rPr>
        <w:t>七十二条第一款</w:t>
      </w:r>
      <w:r>
        <w:rPr>
          <w:rFonts w:hint="eastAsia" w:ascii="仿宋_GB2312" w:hAnsi="楷体_GB2312" w:eastAsia="仿宋_GB2312" w:cs="楷体_GB2312"/>
          <w:color w:val="000000"/>
          <w:sz w:val="32"/>
          <w:szCs w:val="32"/>
          <w:u w:val="none"/>
        </w:rPr>
        <w:t>的规定，每日按罚款数额的百分之三加处罚款，并将依法申请人民法院强制执行。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
          <w:color w:val="000000"/>
          <w:sz w:val="32"/>
          <w:szCs w:val="32"/>
        </w:rPr>
      </w:pPr>
      <w:r>
        <w:rPr>
          <w:rFonts w:hint="eastAsia" w:ascii="仿宋_GB2312" w:eastAsia="仿宋_GB2312" w:cs="仿宋_GB2312"/>
          <w:kern w:val="1"/>
          <w:sz w:val="32"/>
          <w:szCs w:val="32"/>
          <w:u w:val="none"/>
        </w:rPr>
        <w:t xml:space="preserve">如对本行政处罚决定不服，可以于收到本决定书之日起六十日内依法向天津市北辰区人民政府申请行政复议，也可以于六个月内依法向天津市北辰区人民法院提起行政诉讼。                   </w:t>
      </w:r>
      <w:r>
        <w:rPr>
          <w:rFonts w:hint="eastAsia" w:ascii="Times New Roman" w:hAnsi="Times New Roman" w:eastAsia="仿宋_GB2312" w:cs="仿宋"/>
          <w:color w:val="000000"/>
          <w:sz w:val="32"/>
          <w:szCs w:val="32"/>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lang w:val="en-US" w:eastAsia="zh-CN"/>
        </w:rPr>
      </w:pP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lang w:eastAsia="zh-CN"/>
        </w:rPr>
        <w:t>天津市</w:t>
      </w:r>
      <w:r>
        <w:rPr>
          <w:rFonts w:hint="eastAsia" w:ascii="Times New Roman" w:hAnsi="Times New Roman" w:eastAsia="仿宋_GB2312" w:cs="仿宋"/>
          <w:color w:val="000000"/>
          <w:sz w:val="32"/>
          <w:szCs w:val="32"/>
        </w:rPr>
        <w:t>北辰区市场监督管理局</w:t>
      </w:r>
    </w:p>
    <w:p>
      <w:pPr>
        <w:keepNext w:val="0"/>
        <w:keepLines w:val="0"/>
        <w:pageBreakBefore w:val="0"/>
        <w:widowControl w:val="0"/>
        <w:kinsoku/>
        <w:overflowPunct/>
        <w:topLinePunct w:val="0"/>
        <w:autoSpaceDE/>
        <w:autoSpaceDN/>
        <w:bidi w:val="0"/>
        <w:adjustRightInd/>
        <w:snapToGrid/>
        <w:spacing w:line="480" w:lineRule="exact"/>
        <w:ind w:right="640" w:firstLine="1920" w:firstLineChars="600"/>
        <w:jc w:val="both"/>
        <w:textAlignment w:val="auto"/>
        <w:rPr>
          <w:rFonts w:ascii="Times New Roman" w:hAnsi="Times New Roman" w:eastAsia="仿宋_GB2312" w:cs="仿宋"/>
          <w:bCs/>
          <w:color w:val="000000"/>
          <w:sz w:val="32"/>
          <w:szCs w:val="32"/>
        </w:rPr>
      </w:pPr>
      <w:r>
        <w:rPr>
          <w:rFonts w:hint="eastAsia" w:ascii="Times New Roman" w:hAnsi="Times New Roman" w:eastAsia="仿宋_GB2312" w:cs="仿宋"/>
          <w:color w:val="000000"/>
          <w:sz w:val="32"/>
          <w:szCs w:val="32"/>
        </w:rPr>
        <w:t xml:space="preserve">               20</w:t>
      </w:r>
      <w:r>
        <w:rPr>
          <w:rFonts w:hint="eastAsia" w:ascii="Times New Roman" w:hAnsi="Times New Roman" w:eastAsia="仿宋_GB2312" w:cs="仿宋"/>
          <w:color w:val="000000"/>
          <w:sz w:val="32"/>
          <w:szCs w:val="32"/>
          <w:lang w:val="en-US" w:eastAsia="zh-CN"/>
        </w:rPr>
        <w:t>22</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1</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4</w:t>
      </w:r>
      <w:r>
        <w:rPr>
          <w:rFonts w:hint="eastAsia" w:ascii="Times New Roman" w:hAnsi="Times New Roman" w:eastAsia="仿宋_GB2312" w:cs="仿宋"/>
          <w:color w:val="000000"/>
          <w:sz w:val="32"/>
          <w:szCs w:val="32"/>
        </w:rPr>
        <w:t>日</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color w:val="000000"/>
          <w:sz w:val="32"/>
          <w:szCs w:val="32"/>
        </w:rPr>
      </w:pPr>
      <w:bookmarkStart w:id="0" w:name="_GoBack"/>
      <w:bookmarkEnd w:id="0"/>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2C41A4"/>
    <w:rsid w:val="00562944"/>
    <w:rsid w:val="007B5F28"/>
    <w:rsid w:val="009059DF"/>
    <w:rsid w:val="0095241C"/>
    <w:rsid w:val="009550DE"/>
    <w:rsid w:val="00A41198"/>
    <w:rsid w:val="00A729C0"/>
    <w:rsid w:val="00CF10B0"/>
    <w:rsid w:val="00EA3874"/>
    <w:rsid w:val="0FB56839"/>
    <w:rsid w:val="16A20938"/>
    <w:rsid w:val="187D7F30"/>
    <w:rsid w:val="1A523DD2"/>
    <w:rsid w:val="1AB309E6"/>
    <w:rsid w:val="2AB732D7"/>
    <w:rsid w:val="2FE74CDB"/>
    <w:rsid w:val="3405148E"/>
    <w:rsid w:val="46816F58"/>
    <w:rsid w:val="4B2C50E5"/>
    <w:rsid w:val="4DC23B3D"/>
    <w:rsid w:val="550D4146"/>
    <w:rsid w:val="765C0B4F"/>
    <w:rsid w:val="7C0A6A73"/>
    <w:rsid w:val="7FFABA2B"/>
    <w:rsid w:val="FEA72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313</Words>
  <Characters>1785</Characters>
  <Lines>14</Lines>
  <Paragraphs>4</Paragraphs>
  <TotalTime>1</TotalTime>
  <ScaleCrop>false</ScaleCrop>
  <LinksUpToDate>false</LinksUpToDate>
  <CharactersWithSpaces>2094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2019-05-08T10:49:00Z</dcterms:created>
  <dc:creator>李光磊</dc:creator>
  <cp:lastModifiedBy>greatwall</cp:lastModifiedBy>
  <cp:lastPrinted>2020-07-22T16:58:00Z</cp:lastPrinted>
  <dcterms:modified xsi:type="dcterms:W3CDTF">2022-01-13T15:06:41Z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