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rPr>
      </w:pPr>
      <w:bookmarkStart w:id="0" w:name="_Toc76683363"/>
      <w:bookmarkStart w:id="1" w:name="_Toc27865"/>
      <w:r>
        <w:rPr>
          <w:rFonts w:hint="eastAsia" w:ascii="方正小标宋简体" w:hAnsi="方正小标宋简体" w:eastAsia="方正小标宋简体" w:cs="方正小标宋简体"/>
          <w:bCs/>
          <w:sz w:val="44"/>
          <w:szCs w:val="44"/>
        </w:rPr>
        <w:t>天津市北辰区市场监督管理局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rPr>
      </w:pPr>
      <w:bookmarkStart w:id="2" w:name="_Toc76683364"/>
      <w:r>
        <w:rPr>
          <w:rFonts w:ascii="Times New Roman" w:hAnsi="Mongolian Baiti" w:eastAsia="方正小标宋简体" w:cs="Mongolian Baiti"/>
          <w:bCs/>
          <w:color w:val="000000"/>
          <w:sz w:val="44"/>
          <w:szCs w:val="44"/>
        </w:rPr>
        <w:t>行政处罚决定书</w:t>
      </w:r>
      <w:bookmarkEnd w:id="2"/>
    </w:p>
    <w:p>
      <w:pPr>
        <w:widowControl/>
        <w:snapToGrid w:val="0"/>
        <w:spacing w:line="560" w:lineRule="exact"/>
        <w:ind w:right="55"/>
        <w:jc w:val="center"/>
        <w:outlineLvl w:val="1"/>
        <w:rPr>
          <w:rFonts w:ascii="Times New Roman" w:hAnsi="Times New Roman" w:eastAsia="仿宋_GB2312" w:cs="Mongolian Baiti"/>
          <w:bCs/>
          <w:kern w:val="1"/>
          <w:sz w:val="32"/>
          <w:szCs w:val="32"/>
        </w:rPr>
      </w:pPr>
      <w:r>
        <w:rPr>
          <w:rFonts w:hint="eastAsia" w:ascii="Times New Roman" w:hAnsi="Times New Roman" w:eastAsia="仿宋_GB2312" w:cs="仿宋_GB2312"/>
          <w:bCs/>
          <w:color w:val="000000"/>
          <w:sz w:val="32"/>
          <w:szCs w:val="32"/>
        </w:rPr>
        <w:t>津辰</w:t>
      </w:r>
      <w:r>
        <w:rPr>
          <w:rFonts w:hint="eastAsia" w:ascii="Times New Roman" w:hAnsi="仿宋_GB2312" w:eastAsia="仿宋_GB2312" w:cs="仿宋_GB2312"/>
          <w:bCs/>
          <w:color w:val="000000"/>
          <w:sz w:val="32"/>
          <w:szCs w:val="32"/>
        </w:rPr>
        <w:t>市监处罚〔</w:t>
      </w:r>
      <w:r>
        <w:rPr>
          <w:rFonts w:ascii="Times New Roman" w:hAnsi="Times New Roman" w:eastAsia="仿宋_GB2312" w:cs="仿宋_GB2312"/>
          <w:bCs/>
          <w:color w:val="000000"/>
          <w:sz w:val="32"/>
          <w:szCs w:val="32"/>
        </w:rPr>
        <w:t>2021</w:t>
      </w:r>
      <w:r>
        <w:rPr>
          <w:rFonts w:hint="eastAsia" w:ascii="Times New Roman" w:hAnsi="仿宋_GB2312" w:eastAsia="仿宋_GB2312" w:cs="仿宋_GB2312"/>
          <w:bCs/>
          <w:color w:val="000000"/>
          <w:sz w:val="32"/>
          <w:szCs w:val="32"/>
        </w:rPr>
        <w:t>〕</w:t>
      </w:r>
      <w:r>
        <w:rPr>
          <w:rFonts w:ascii="Times New Roman" w:hAnsi="Times New Roman" w:eastAsia="仿宋_GB2312" w:cs="仿宋_GB2312"/>
          <w:bCs/>
          <w:color w:val="000000"/>
          <w:sz w:val="32"/>
          <w:szCs w:val="32"/>
        </w:rPr>
        <w:t>1203</w:t>
      </w:r>
      <w:r>
        <w:rPr>
          <w:rFonts w:hint="eastAsia" w:ascii="Times New Roman" w:hAnsi="仿宋_GB2312" w:eastAsia="仿宋_GB2312" w:cs="仿宋_GB2312"/>
          <w:bCs/>
          <w:color w:val="000000"/>
          <w:sz w:val="32"/>
          <w:szCs w:val="32"/>
        </w:rPr>
        <w:t>号</w:t>
      </w:r>
      <w:r>
        <w:rPr>
          <w:rFonts w:hint="eastAsia" w:ascii="Times New Roman" w:hAnsi="Times New Roman" w:eastAsia="仿宋_GB2312" w:cs="Mongolian Baiti"/>
          <w:bCs/>
          <w:kern w:val="1"/>
          <w:sz w:val="32"/>
          <w:szCs w:val="32"/>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12700" r="17780" b="1587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60" w:lineRule="exact"/>
        <w:ind w:left="140" w:hanging="140"/>
        <w:rPr>
          <w:rFonts w:ascii="Times New Roman" w:hAnsi="Times New Roman" w:eastAsia="仿宋_GB2312" w:cs="Mongolian Baiti"/>
          <w:bCs/>
          <w:sz w:val="32"/>
          <w:szCs w:val="32"/>
          <w:u w:val="none"/>
        </w:rPr>
      </w:pPr>
      <w:r>
        <w:rPr>
          <w:rFonts w:hint="eastAsia" w:ascii="Times New Roman" w:hAnsi="Times New Roman" w:eastAsia="仿宋_GB2312" w:cs="Mongolian Baiti"/>
          <w:bCs/>
          <w:kern w:val="1"/>
          <w:sz w:val="32"/>
          <w:szCs w:val="32"/>
        </w:rPr>
        <w:t>当事人</w:t>
      </w:r>
      <w:r>
        <w:rPr>
          <w:rFonts w:hint="eastAsia" w:ascii="Times New Roman" w:hAnsi="Times New Roman" w:eastAsia="仿宋_GB2312" w:cs="Mongolian Baiti"/>
          <w:bCs/>
          <w:kern w:val="1"/>
          <w:sz w:val="32"/>
          <w:szCs w:val="32"/>
          <w:u w:val="none"/>
        </w:rPr>
        <w:t>：</w:t>
      </w:r>
      <w:r>
        <w:rPr>
          <w:rFonts w:hint="eastAsia" w:ascii="仿宋_GB2312" w:hAnsi="Times New Roman" w:eastAsia="仿宋_GB2312" w:cs="仿宋_GB2312"/>
          <w:bCs/>
          <w:sz w:val="32"/>
          <w:szCs w:val="32"/>
          <w:u w:val="none"/>
        </w:rPr>
        <w:t>创严</w:t>
      </w:r>
      <w:r>
        <w:rPr>
          <w:rFonts w:ascii="仿宋_GB2312" w:hAnsi="Times New Roman" w:eastAsia="仿宋_GB2312" w:cs="仿宋_GB2312"/>
          <w:bCs/>
          <w:sz w:val="32"/>
          <w:szCs w:val="32"/>
          <w:u w:val="none"/>
        </w:rPr>
        <w:t>检测（</w:t>
      </w:r>
      <w:r>
        <w:rPr>
          <w:rFonts w:hint="eastAsia" w:ascii="仿宋_GB2312" w:hAnsi="Times New Roman" w:eastAsia="仿宋_GB2312" w:cs="仿宋_GB2312"/>
          <w:bCs/>
          <w:sz w:val="32"/>
          <w:szCs w:val="32"/>
          <w:u w:val="none"/>
        </w:rPr>
        <w:t>天津</w:t>
      </w:r>
      <w:r>
        <w:rPr>
          <w:rFonts w:ascii="仿宋_GB2312" w:hAnsi="Times New Roman" w:eastAsia="仿宋_GB2312" w:cs="仿宋_GB2312"/>
          <w:bCs/>
          <w:sz w:val="32"/>
          <w:szCs w:val="32"/>
          <w:u w:val="none"/>
        </w:rPr>
        <w:t>）</w:t>
      </w:r>
      <w:r>
        <w:rPr>
          <w:rFonts w:hint="eastAsia" w:ascii="仿宋_GB2312" w:hAnsi="Times New Roman" w:eastAsia="仿宋_GB2312" w:cs="仿宋_GB2312"/>
          <w:bCs/>
          <w:sz w:val="32"/>
          <w:szCs w:val="32"/>
          <w:u w:val="none"/>
        </w:rPr>
        <w:t>有限公司</w:t>
      </w:r>
      <w:r>
        <w:rPr>
          <w:rFonts w:hint="eastAsia" w:ascii="仿宋_GB2312" w:hAnsi="Times New Roman" w:eastAsia="仿宋_GB2312"/>
          <w:sz w:val="32"/>
          <w:szCs w:val="32"/>
          <w:u w:val="none"/>
        </w:rPr>
        <w:t xml:space="preserve">             </w:t>
      </w:r>
      <w:r>
        <w:rPr>
          <w:rFonts w:ascii="仿宋_GB2312" w:hAnsi="Times New Roman" w:eastAsia="仿宋_GB2312"/>
          <w:sz w:val="32"/>
          <w:szCs w:val="32"/>
          <w:u w:val="none"/>
        </w:rPr>
        <w:t xml:space="preserve">             </w:t>
      </w:r>
      <w:r>
        <w:rPr>
          <w:rFonts w:hint="eastAsia" w:ascii="仿宋_GB2312" w:hAnsi="Times New Roman"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sz w:val="32"/>
          <w:szCs w:val="32"/>
          <w:u w:val="none"/>
        </w:rPr>
      </w:pPr>
      <w:r>
        <w:rPr>
          <w:rFonts w:hint="eastAsia" w:ascii="Times New Roman" w:hAnsi="Times New Roman" w:eastAsia="仿宋_GB2312" w:cs="微软雅黑"/>
          <w:bCs/>
          <w:kern w:val="1"/>
          <w:sz w:val="32"/>
          <w:szCs w:val="32"/>
          <w:u w:val="none"/>
        </w:rPr>
        <w:t>主体资格证照</w:t>
      </w:r>
      <w:r>
        <w:rPr>
          <w:rFonts w:hint="eastAsia" w:ascii="Times New Roman" w:hAnsi="Times New Roman" w:eastAsia="仿宋_GB2312" w:cs="Mongolian Baiti"/>
          <w:kern w:val="1"/>
          <w:sz w:val="32"/>
          <w:szCs w:val="32"/>
          <w:u w:val="none"/>
        </w:rPr>
        <w:t xml:space="preserve">名称： 营业执照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统一社会信用代码： </w:t>
      </w:r>
      <w:r>
        <w:rPr>
          <w:rFonts w:ascii="仿宋_GB2312" w:hAnsi="Times New Roman" w:eastAsia="仿宋_GB2312" w:cs="仿宋_GB2312"/>
          <w:bCs/>
          <w:sz w:val="32"/>
          <w:szCs w:val="32"/>
          <w:u w:val="none"/>
        </w:rPr>
        <w:t>91120113MA05YD5G55</w:t>
      </w:r>
      <w:r>
        <w:rPr>
          <w:rFonts w:hint="eastAsia" w:ascii="Times New Roman" w:hAnsi="Times New Roman" w:eastAsia="仿宋_GB2312" w:cs="Mongolian Baiti"/>
          <w:kern w:val="1"/>
          <w:sz w:val="32"/>
          <w:szCs w:val="32"/>
          <w:u w:val="none"/>
        </w:rPr>
        <w:t xml:space="preserve">                                     </w:t>
      </w:r>
    </w:p>
    <w:p>
      <w:pPr>
        <w:spacing w:line="56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住所（住址）：</w:t>
      </w:r>
      <w:r>
        <w:rPr>
          <w:rFonts w:hint="eastAsia" w:ascii="仿宋_GB2312" w:hAnsi="Times New Roman" w:eastAsia="仿宋_GB2312" w:cs="仿宋_GB2312"/>
          <w:bCs/>
          <w:sz w:val="32"/>
          <w:szCs w:val="32"/>
          <w:u w:val="none"/>
        </w:rPr>
        <w:t>天津市北辰区双街镇双辰</w:t>
      </w:r>
      <w:r>
        <w:rPr>
          <w:rFonts w:ascii="仿宋_GB2312" w:hAnsi="Times New Roman" w:eastAsia="仿宋_GB2312" w:cs="仿宋_GB2312"/>
          <w:bCs/>
          <w:sz w:val="32"/>
          <w:szCs w:val="32"/>
          <w:u w:val="none"/>
        </w:rPr>
        <w:t>中路8号</w:t>
      </w:r>
      <w:r>
        <w:rPr>
          <w:rFonts w:hint="eastAsia" w:ascii="仿宋_GB2312" w:hAnsi="Times New Roman" w:eastAsia="仿宋_GB2312" w:cs="仿宋_GB2312"/>
          <w:bCs/>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6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法定代表人（负责人、经营者）：</w:t>
      </w:r>
      <w:r>
        <w:rPr>
          <w:rFonts w:hint="eastAsia" w:ascii="仿宋_GB2312" w:hAnsi="Times New Roman" w:eastAsia="仿宋_GB2312" w:cs="仿宋_GB2312"/>
          <w:bCs/>
          <w:sz w:val="32"/>
          <w:szCs w:val="32"/>
          <w:u w:val="none"/>
        </w:rPr>
        <w:t>杨清</w:t>
      </w:r>
      <w:r>
        <w:rPr>
          <w:rFonts w:ascii="仿宋_GB2312" w:hAnsi="Times New Roman" w:eastAsia="仿宋_GB2312" w:cs="仿宋_GB2312"/>
          <w:bCs/>
          <w:sz w:val="32"/>
          <w:szCs w:val="32"/>
          <w:u w:val="none"/>
        </w:rPr>
        <w:t>旺</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身份证件号码： </w:t>
      </w:r>
      <w:r>
        <w:rPr>
          <w:rFonts w:hint="eastAsia" w:ascii="仿宋_GB2312" w:hAnsi="Times New Roman" w:eastAsia="仿宋_GB2312" w:cs="仿宋_GB2312"/>
          <w:kern w:val="0"/>
          <w:sz w:val="32"/>
          <w:szCs w:val="32"/>
          <w:u w:val="none"/>
          <w:lang w:val="en-US" w:eastAsia="zh-CN"/>
        </w:rPr>
        <w:t>******</w:t>
      </w:r>
      <w:r>
        <w:rPr>
          <w:rFonts w:hint="eastAsia" w:ascii="Times New Roman" w:hAnsi="Times New Roman" w:eastAsia="仿宋_GB2312" w:cs="Mongolian Baiti"/>
          <w:kern w:val="1"/>
          <w:sz w:val="32"/>
          <w:szCs w:val="32"/>
          <w:u w:val="none"/>
        </w:rPr>
        <w:t xml:space="preserve">                                  </w:t>
      </w:r>
    </w:p>
    <w:p>
      <w:pPr>
        <w:pStyle w:val="2"/>
        <w:tabs>
          <w:tab w:val="left" w:pos="8240"/>
        </w:tabs>
        <w:spacing w:line="560" w:lineRule="exact"/>
        <w:ind w:firstLine="640" w:firstLineChars="200"/>
        <w:jc w:val="both"/>
        <w:rPr>
          <w:rFonts w:ascii="仿宋_GB2312" w:eastAsia="仿宋_GB2312" w:cs="仿宋_GB2312"/>
          <w:kern w:val="1"/>
          <w:u w:val="none"/>
        </w:rPr>
      </w:pPr>
      <w:r>
        <w:rPr>
          <w:rFonts w:hint="eastAsia" w:ascii="仿宋_GB2312" w:eastAsia="仿宋_GB2312" w:cs="仿宋_GB2312"/>
          <w:u w:val="none"/>
        </w:rPr>
        <w:t>2021年12月9日，我局执法人员依法对创严检测（天津）有限公司特种设备使用情况进行监督检查，现场检查发现一台立式压力蒸汽灭菌器（产品编号1850A-307）上张贴的特种设备使用标志显示下次检验日期为2021年09月，现场使用记录显示自2021年10月份以来该公司曾多次使用过该设备，该公司现场能够提供上述一台立式压力蒸汽灭菌器的特种设备使用登记证，不能提供在检验有效期内的检验报告。执法人员现场制作了现场笔录和特种设备现场安全监督检查记录表。同日，执法人员报经局领导批准，予以立案调查。调查过程中，我局执法人员采取现场检查、询问当事人等方式，对案件进行了全面调查。</w:t>
      </w:r>
    </w:p>
    <w:p>
      <w:pPr>
        <w:pStyle w:val="2"/>
        <w:tabs>
          <w:tab w:val="left" w:pos="8240"/>
        </w:tabs>
        <w:spacing w:line="560" w:lineRule="exact"/>
        <w:ind w:firstLine="640" w:firstLineChars="200"/>
        <w:jc w:val="both"/>
        <w:rPr>
          <w:rFonts w:ascii="Times New Roman" w:eastAsia="仿宋_GB2312" w:cs="仿宋_GB2312"/>
          <w:color w:val="000000"/>
          <w:u w:val="none"/>
        </w:rPr>
      </w:pPr>
      <w:r>
        <w:rPr>
          <w:rFonts w:hint="eastAsia" w:ascii="Times New Roman" w:eastAsia="仿宋_GB2312" w:cs="Mongolian Baiti"/>
          <w:kern w:val="1"/>
          <w:u w:val="none"/>
        </w:rPr>
        <w:t>经查，</w:t>
      </w:r>
      <w:r>
        <w:rPr>
          <w:rFonts w:hint="eastAsia" w:ascii="仿宋_GB2312" w:hAnsi="Calibri" w:eastAsia="仿宋_GB2312" w:cs="仿宋_GB2312"/>
          <w:u w:val="none"/>
        </w:rPr>
        <w:t>2</w:t>
      </w:r>
      <w:r>
        <w:rPr>
          <w:rFonts w:ascii="仿宋_GB2312" w:hAnsi="Calibri" w:eastAsia="仿宋_GB2312" w:cs="仿宋_GB2312"/>
          <w:u w:val="none"/>
        </w:rPr>
        <w:t>021年12月9日我局</w:t>
      </w:r>
      <w:r>
        <w:rPr>
          <w:rFonts w:hint="eastAsia" w:ascii="仿宋_GB2312" w:hAnsi="Calibri" w:eastAsia="仿宋_GB2312" w:cs="仿宋_GB2312"/>
          <w:u w:val="none"/>
        </w:rPr>
        <w:t>执法人员对</w:t>
      </w:r>
      <w:r>
        <w:rPr>
          <w:rFonts w:ascii="仿宋_GB2312" w:hAnsi="Calibri" w:eastAsia="仿宋_GB2312" w:cs="仿宋_GB2312"/>
          <w:u w:val="none"/>
        </w:rPr>
        <w:t>当事人进行</w:t>
      </w:r>
      <w:r>
        <w:rPr>
          <w:rFonts w:hint="eastAsia" w:ascii="仿宋_GB2312" w:hAnsi="Calibri" w:eastAsia="仿宋_GB2312" w:cs="仿宋_GB2312"/>
          <w:u w:val="none"/>
        </w:rPr>
        <w:t>现场检查，</w:t>
      </w:r>
      <w:r>
        <w:rPr>
          <w:rFonts w:hint="eastAsia" w:ascii="仿宋_GB2312" w:eastAsia="仿宋_GB2312" w:cs="仿宋_GB2312"/>
          <w:u w:val="none"/>
        </w:rPr>
        <w:t>发现一台立式压力蒸汽灭菌器（产品编号1850A-307）上张贴的特种设备使用标志显示下次检验日期为2021年09月</w:t>
      </w:r>
      <w:r>
        <w:rPr>
          <w:rFonts w:hint="eastAsia" w:ascii="仿宋_GB2312" w:eastAsia="仿宋_GB2312"/>
          <w:u w:val="none"/>
        </w:rPr>
        <w:t>，自2021年10月1日至2021年12月9日案发，上述一台</w:t>
      </w:r>
      <w:r>
        <w:rPr>
          <w:rFonts w:hint="eastAsia" w:ascii="仿宋_GB2312" w:eastAsia="仿宋_GB2312" w:cs="仿宋_GB2312"/>
          <w:u w:val="none"/>
        </w:rPr>
        <w:t>立式压力蒸汽灭菌器</w:t>
      </w:r>
      <w:r>
        <w:rPr>
          <w:rFonts w:hint="eastAsia" w:ascii="仿宋_GB2312" w:eastAsia="仿宋_GB2312"/>
          <w:u w:val="none"/>
        </w:rPr>
        <w:t>未经检验机构检验并投入使用。上述行为满足使用未经定期检验的特种设备行为的构成要件。执法人员于2021年12月9日向当事人下达了《特种设备安全监察指令书》（津辰市场监特令[2021]第SJ007号），责令立即停止使用上述一台</w:t>
      </w:r>
      <w:r>
        <w:rPr>
          <w:rFonts w:hint="eastAsia" w:ascii="仿宋_GB2312" w:eastAsia="仿宋_GB2312" w:cs="仿宋_GB2312"/>
          <w:u w:val="none"/>
        </w:rPr>
        <w:t>立式压力蒸汽灭菌器</w:t>
      </w:r>
      <w:r>
        <w:rPr>
          <w:rFonts w:hint="eastAsia" w:ascii="仿宋_GB2312" w:eastAsia="仿宋_GB2312"/>
          <w:u w:val="none"/>
        </w:rPr>
        <w:t>，取得有效的检验报告后方可使用。</w:t>
      </w:r>
    </w:p>
    <w:p>
      <w:pPr>
        <w:pStyle w:val="5"/>
        <w:spacing w:line="560" w:lineRule="exact"/>
        <w:ind w:firstLine="640" w:firstLineChars="200"/>
        <w:rPr>
          <w:rFonts w:ascii="仿宋_GB2312" w:hAnsi="Times New Roman" w:eastAsia="仿宋_GB2312" w:cs="仿宋_GB2312"/>
          <w:kern w:val="0"/>
          <w:sz w:val="32"/>
          <w:szCs w:val="32"/>
          <w:u w:val="none"/>
        </w:rPr>
      </w:pPr>
      <w:r>
        <w:rPr>
          <w:rFonts w:ascii="仿宋_GB2312" w:hAnsi="Times New Roman" w:eastAsia="仿宋_GB2312" w:cs="仿宋_GB2312"/>
          <w:kern w:val="0"/>
          <w:sz w:val="32"/>
          <w:szCs w:val="32"/>
          <w:u w:val="none"/>
        </w:rPr>
        <w:t>上述事实，主要有以下证据证明：</w:t>
      </w:r>
    </w:p>
    <w:p>
      <w:pPr>
        <w:spacing w:line="560" w:lineRule="exact"/>
        <w:ind w:firstLine="640" w:firstLineChars="200"/>
        <w:rPr>
          <w:rFonts w:ascii="仿宋_GB2312" w:eastAsia="仿宋_GB2312"/>
          <w:sz w:val="32"/>
          <w:szCs w:val="32"/>
          <w:u w:val="none"/>
        </w:rPr>
      </w:pPr>
      <w:r>
        <w:rPr>
          <w:rFonts w:hint="eastAsia" w:ascii="仿宋_GB2312" w:eastAsia="仿宋_GB2312"/>
          <w:sz w:val="32"/>
          <w:szCs w:val="32"/>
          <w:u w:val="none"/>
        </w:rPr>
        <w:t>1、营业执照复印件</w:t>
      </w:r>
      <w:r>
        <w:rPr>
          <w:rFonts w:ascii="仿宋_GB2312" w:eastAsia="仿宋_GB2312"/>
          <w:sz w:val="32"/>
          <w:szCs w:val="32"/>
          <w:u w:val="none"/>
        </w:rPr>
        <w:t>、</w:t>
      </w:r>
      <w:r>
        <w:rPr>
          <w:rFonts w:hint="eastAsia" w:ascii="仿宋_GB2312" w:eastAsia="仿宋_GB2312"/>
          <w:sz w:val="32"/>
          <w:szCs w:val="32"/>
          <w:u w:val="none"/>
        </w:rPr>
        <w:t>法定</w:t>
      </w:r>
      <w:r>
        <w:rPr>
          <w:rFonts w:ascii="仿宋_GB2312" w:eastAsia="仿宋_GB2312"/>
          <w:sz w:val="32"/>
          <w:szCs w:val="32"/>
          <w:u w:val="none"/>
        </w:rPr>
        <w:t>代表人</w:t>
      </w:r>
      <w:r>
        <w:rPr>
          <w:rFonts w:hint="eastAsia" w:ascii="仿宋_GB2312" w:eastAsia="仿宋_GB2312"/>
          <w:sz w:val="32"/>
          <w:szCs w:val="32"/>
          <w:u w:val="none"/>
        </w:rPr>
        <w:t>身份证复印件，证明当事人的主体资格；</w:t>
      </w:r>
    </w:p>
    <w:p>
      <w:pPr>
        <w:spacing w:line="560" w:lineRule="exact"/>
        <w:ind w:firstLine="640" w:firstLineChars="200"/>
        <w:rPr>
          <w:rFonts w:ascii="仿宋_GB2312" w:eastAsia="仿宋_GB2312"/>
          <w:sz w:val="32"/>
          <w:szCs w:val="32"/>
          <w:u w:val="none"/>
        </w:rPr>
      </w:pPr>
      <w:r>
        <w:rPr>
          <w:rFonts w:hint="eastAsia" w:ascii="仿宋_GB2312" w:eastAsia="仿宋_GB2312"/>
          <w:sz w:val="32"/>
          <w:szCs w:val="32"/>
          <w:u w:val="none"/>
        </w:rPr>
        <w:t>2、现场检查笔录、特种设备现场安全监督检查记录、《特种设备安全监察指令书》（津辰市场监特令[</w:t>
      </w:r>
      <w:r>
        <w:rPr>
          <w:rFonts w:ascii="仿宋_GB2312" w:eastAsia="仿宋_GB2312"/>
          <w:sz w:val="32"/>
          <w:szCs w:val="32"/>
          <w:u w:val="none"/>
        </w:rPr>
        <w:t>2021</w:t>
      </w:r>
      <w:r>
        <w:rPr>
          <w:rFonts w:hint="eastAsia" w:ascii="仿宋_GB2312" w:eastAsia="仿宋_GB2312"/>
          <w:sz w:val="32"/>
          <w:szCs w:val="32"/>
          <w:u w:val="none"/>
        </w:rPr>
        <w:t>]第</w:t>
      </w:r>
      <w:r>
        <w:rPr>
          <w:rFonts w:ascii="仿宋_GB2312" w:eastAsia="仿宋_GB2312"/>
          <w:sz w:val="32"/>
          <w:szCs w:val="32"/>
          <w:u w:val="none"/>
        </w:rPr>
        <w:t>SJ007</w:t>
      </w:r>
      <w:r>
        <w:rPr>
          <w:rFonts w:hint="eastAsia" w:ascii="仿宋_GB2312" w:eastAsia="仿宋_GB2312"/>
          <w:sz w:val="32"/>
          <w:szCs w:val="32"/>
          <w:u w:val="none"/>
        </w:rPr>
        <w:t>号）、现场检查照片，证明当事人使用未经定期检验的特种设备的现场情况；</w:t>
      </w:r>
    </w:p>
    <w:p>
      <w:pPr>
        <w:spacing w:line="560" w:lineRule="exact"/>
        <w:ind w:firstLine="640" w:firstLineChars="200"/>
        <w:rPr>
          <w:rFonts w:ascii="仿宋_GB2312" w:eastAsia="仿宋_GB2312"/>
          <w:sz w:val="32"/>
          <w:szCs w:val="32"/>
          <w:u w:val="none"/>
        </w:rPr>
      </w:pPr>
      <w:r>
        <w:rPr>
          <w:rFonts w:hint="eastAsia" w:ascii="仿宋_GB2312" w:eastAsia="仿宋_GB2312"/>
          <w:sz w:val="32"/>
          <w:szCs w:val="32"/>
          <w:u w:val="none"/>
        </w:rPr>
        <w:t>3、对被委托人殷立</w:t>
      </w:r>
      <w:r>
        <w:rPr>
          <w:rFonts w:ascii="仿宋_GB2312" w:eastAsia="仿宋_GB2312"/>
          <w:sz w:val="32"/>
          <w:szCs w:val="32"/>
          <w:u w:val="none"/>
        </w:rPr>
        <w:t>伟</w:t>
      </w:r>
      <w:r>
        <w:rPr>
          <w:rFonts w:hint="eastAsia" w:ascii="仿宋_GB2312" w:eastAsia="仿宋_GB2312"/>
          <w:sz w:val="32"/>
          <w:szCs w:val="32"/>
          <w:u w:val="none"/>
        </w:rPr>
        <w:t>的询问调查笔录、被委托人殷立伟的身份证复印件、授权委托书、</w:t>
      </w:r>
      <w:r>
        <w:rPr>
          <w:rFonts w:ascii="仿宋_GB2312" w:eastAsia="仿宋_GB2312"/>
          <w:sz w:val="32"/>
          <w:szCs w:val="32"/>
          <w:u w:val="none"/>
        </w:rPr>
        <w:t>特种设备使用登记证</w:t>
      </w:r>
      <w:r>
        <w:rPr>
          <w:rFonts w:hint="eastAsia" w:ascii="仿宋_GB2312" w:eastAsia="仿宋_GB2312"/>
          <w:sz w:val="32"/>
          <w:szCs w:val="32"/>
          <w:u w:val="none"/>
        </w:rPr>
        <w:t>复印件、</w:t>
      </w:r>
      <w:r>
        <w:rPr>
          <w:rFonts w:ascii="仿宋_GB2312" w:eastAsia="仿宋_GB2312"/>
          <w:sz w:val="32"/>
          <w:szCs w:val="32"/>
          <w:u w:val="none"/>
        </w:rPr>
        <w:t>使用及化学验证记录</w:t>
      </w:r>
      <w:r>
        <w:rPr>
          <w:rFonts w:hint="eastAsia" w:ascii="仿宋_GB2312" w:eastAsia="仿宋_GB2312"/>
          <w:sz w:val="32"/>
          <w:szCs w:val="32"/>
          <w:u w:val="none"/>
        </w:rPr>
        <w:t>，证明当事人使用未经定期检验的特种设备的事实情节；</w:t>
      </w:r>
    </w:p>
    <w:p>
      <w:pPr>
        <w:spacing w:line="560" w:lineRule="exact"/>
        <w:ind w:firstLine="640" w:firstLineChars="200"/>
        <w:rPr>
          <w:rFonts w:ascii="仿宋_GB2312" w:eastAsia="仿宋_GB2312"/>
          <w:sz w:val="32"/>
          <w:szCs w:val="32"/>
          <w:u w:val="none"/>
        </w:rPr>
      </w:pPr>
      <w:r>
        <w:rPr>
          <w:rFonts w:ascii="仿宋_GB2312" w:eastAsia="仿宋_GB2312"/>
          <w:sz w:val="32"/>
          <w:szCs w:val="32"/>
          <w:u w:val="none"/>
        </w:rPr>
        <w:t>4</w:t>
      </w:r>
      <w:r>
        <w:rPr>
          <w:rFonts w:hint="eastAsia" w:ascii="仿宋_GB2312" w:eastAsia="仿宋_GB2312"/>
          <w:sz w:val="32"/>
          <w:szCs w:val="32"/>
          <w:u w:val="none"/>
        </w:rPr>
        <w:t>、当事人提供的整改报告、停止使用涉案特种设备照片、</w:t>
      </w:r>
      <w:r>
        <w:rPr>
          <w:rFonts w:ascii="仿宋_GB2312" w:eastAsia="仿宋_GB2312"/>
          <w:sz w:val="32"/>
          <w:szCs w:val="32"/>
          <w:u w:val="none"/>
        </w:rPr>
        <w:t>复查现场检查笔录</w:t>
      </w:r>
      <w:r>
        <w:rPr>
          <w:rFonts w:hint="eastAsia" w:ascii="仿宋_GB2312" w:eastAsia="仿宋_GB2312"/>
          <w:sz w:val="32"/>
          <w:szCs w:val="32"/>
          <w:u w:val="none"/>
        </w:rPr>
        <w:t>，证明当事人积极改正违法行为的事实。</w:t>
      </w:r>
    </w:p>
    <w:p>
      <w:pPr>
        <w:snapToGrid w:val="0"/>
        <w:spacing w:line="560" w:lineRule="exact"/>
        <w:ind w:left="105" w:leftChars="50" w:firstLine="537" w:firstLineChars="168"/>
        <w:rPr>
          <w:rFonts w:ascii="仿宋_GB2312" w:eastAsia="仿宋_GB2312"/>
          <w:color w:val="000000"/>
          <w:sz w:val="32"/>
          <w:szCs w:val="32"/>
          <w:u w:val="none"/>
        </w:rPr>
      </w:pPr>
      <w:r>
        <w:rPr>
          <w:rFonts w:hint="eastAsia" w:ascii="仿宋_GB2312" w:hAnsi="楷体_GB2312" w:eastAsia="仿宋_GB2312" w:cs="楷体_GB2312"/>
          <w:color w:val="000000" w:themeColor="text1"/>
          <w:sz w:val="32"/>
          <w:szCs w:val="32"/>
          <w:u w:val="none"/>
          <w14:textFill>
            <w14:solidFill>
              <w14:schemeClr w14:val="tx1"/>
            </w14:solidFill>
          </w14:textFill>
        </w:rPr>
        <w:t>本局于</w:t>
      </w:r>
      <w:r>
        <w:rPr>
          <w:rFonts w:ascii="仿宋_GB2312" w:hAnsi="楷体_GB2312" w:eastAsia="仿宋_GB2312" w:cs="楷体_GB2312"/>
          <w:color w:val="000000" w:themeColor="text1"/>
          <w:sz w:val="32"/>
          <w:szCs w:val="32"/>
          <w:u w:val="none"/>
          <w14:textFill>
            <w14:solidFill>
              <w14:schemeClr w14:val="tx1"/>
            </w14:solidFill>
          </w14:textFill>
        </w:rPr>
        <w:t>2022</w:t>
      </w:r>
      <w:r>
        <w:rPr>
          <w:rFonts w:hint="eastAsia" w:ascii="仿宋_GB2312" w:hAnsi="楷体_GB2312" w:eastAsia="仿宋_GB2312" w:cs="楷体_GB2312"/>
          <w:color w:val="000000" w:themeColor="text1"/>
          <w:sz w:val="32"/>
          <w:szCs w:val="32"/>
          <w:u w:val="none"/>
          <w14:textFill>
            <w14:solidFill>
              <w14:schemeClr w14:val="tx1"/>
            </w14:solidFill>
          </w14:textFill>
        </w:rPr>
        <w:t>年</w:t>
      </w:r>
      <w:r>
        <w:rPr>
          <w:rFonts w:ascii="仿宋_GB2312" w:hAnsi="楷体_GB2312" w:eastAsia="仿宋_GB2312" w:cs="楷体_GB2312"/>
          <w:color w:val="000000" w:themeColor="text1"/>
          <w:sz w:val="32"/>
          <w:szCs w:val="32"/>
          <w:u w:val="none"/>
          <w14:textFill>
            <w14:solidFill>
              <w14:schemeClr w14:val="tx1"/>
            </w14:solidFill>
          </w14:textFill>
        </w:rPr>
        <w:t>2</w:t>
      </w:r>
      <w:r>
        <w:rPr>
          <w:rFonts w:hint="eastAsia" w:ascii="仿宋_GB2312" w:hAnsi="楷体_GB2312" w:eastAsia="仿宋_GB2312" w:cs="楷体_GB2312"/>
          <w:color w:val="000000" w:themeColor="text1"/>
          <w:sz w:val="32"/>
          <w:szCs w:val="32"/>
          <w:u w:val="none"/>
          <w14:textFill>
            <w14:solidFill>
              <w14:schemeClr w14:val="tx1"/>
            </w14:solidFill>
          </w14:textFill>
        </w:rPr>
        <w:t>月</w:t>
      </w:r>
      <w:r>
        <w:rPr>
          <w:rFonts w:ascii="仿宋_GB2312" w:hAnsi="楷体_GB2312" w:eastAsia="仿宋_GB2312" w:cs="楷体_GB2312"/>
          <w:color w:val="000000" w:themeColor="text1"/>
          <w:sz w:val="32"/>
          <w:szCs w:val="32"/>
          <w:u w:val="none"/>
          <w14:textFill>
            <w14:solidFill>
              <w14:schemeClr w14:val="tx1"/>
            </w14:solidFill>
          </w14:textFill>
        </w:rPr>
        <w:t>15</w:t>
      </w:r>
      <w:r>
        <w:rPr>
          <w:rFonts w:hint="eastAsia" w:ascii="仿宋_GB2312" w:hAnsi="楷体_GB2312" w:eastAsia="仿宋_GB2312" w:cs="楷体_GB2312"/>
          <w:color w:val="000000" w:themeColor="text1"/>
          <w:sz w:val="32"/>
          <w:szCs w:val="32"/>
          <w:u w:val="none"/>
          <w14:textFill>
            <w14:solidFill>
              <w14:schemeClr w14:val="tx1"/>
            </w14:solidFill>
          </w14:textFill>
        </w:rPr>
        <w:t>日依法向当事人送达了《行政处罚告知书》（</w:t>
      </w:r>
      <w:r>
        <w:rPr>
          <w:rFonts w:hint="eastAsia" w:eastAsia="仿宋_GB2312" w:cs="仿宋"/>
          <w:color w:val="000000" w:themeColor="text1"/>
          <w:sz w:val="32"/>
          <w:szCs w:val="32"/>
          <w:u w:val="none"/>
          <w14:textFill>
            <w14:solidFill>
              <w14:schemeClr w14:val="tx1"/>
            </w14:solidFill>
          </w14:textFill>
        </w:rPr>
        <w:t>津辰市监罚告</w:t>
      </w:r>
      <w:r>
        <w:rPr>
          <w:rFonts w:hint="eastAsia" w:ascii="仿宋_GB2312" w:eastAsia="仿宋_GB2312" w:cs="仿宋"/>
          <w:bCs/>
          <w:color w:val="000000" w:themeColor="text1"/>
          <w:sz w:val="32"/>
          <w:szCs w:val="32"/>
          <w:u w:val="none"/>
          <w14:textFill>
            <w14:solidFill>
              <w14:schemeClr w14:val="tx1"/>
            </w14:solidFill>
          </w14:textFill>
        </w:rPr>
        <w:t>〔</w:t>
      </w:r>
      <w:r>
        <w:rPr>
          <w:rFonts w:ascii="仿宋_GB2312" w:eastAsia="仿宋_GB2312" w:cs="仿宋"/>
          <w:bCs/>
          <w:color w:val="000000" w:themeColor="text1"/>
          <w:sz w:val="32"/>
          <w:szCs w:val="32"/>
          <w:u w:val="none"/>
          <w14:textFill>
            <w14:solidFill>
              <w14:schemeClr w14:val="tx1"/>
            </w14:solidFill>
          </w14:textFill>
        </w:rPr>
        <w:t>2021</w:t>
      </w:r>
      <w:r>
        <w:rPr>
          <w:rFonts w:hint="eastAsia" w:ascii="仿宋_GB2312" w:eastAsia="仿宋_GB2312" w:cs="仿宋"/>
          <w:bCs/>
          <w:color w:val="000000" w:themeColor="text1"/>
          <w:sz w:val="32"/>
          <w:szCs w:val="32"/>
          <w:u w:val="none"/>
          <w14:textFill>
            <w14:solidFill>
              <w14:schemeClr w14:val="tx1"/>
            </w14:solidFill>
          </w14:textFill>
        </w:rPr>
        <w:t>〕</w:t>
      </w:r>
      <w:r>
        <w:rPr>
          <w:rFonts w:ascii="仿宋_GB2312" w:eastAsia="仿宋_GB2312" w:cs="仿宋"/>
          <w:bCs/>
          <w:color w:val="000000" w:themeColor="text1"/>
          <w:sz w:val="32"/>
          <w:szCs w:val="32"/>
          <w:u w:val="none"/>
          <w14:textFill>
            <w14:solidFill>
              <w14:schemeClr w14:val="tx1"/>
            </w14:solidFill>
          </w14:textFill>
        </w:rPr>
        <w:t>1203</w:t>
      </w:r>
      <w:r>
        <w:rPr>
          <w:rFonts w:hint="eastAsia" w:ascii="仿宋_GB2312" w:eastAsia="仿宋_GB2312" w:cs="仿宋"/>
          <w:bCs/>
          <w:color w:val="000000" w:themeColor="text1"/>
          <w:sz w:val="32"/>
          <w:szCs w:val="32"/>
          <w:u w:val="none"/>
          <w14:textFill>
            <w14:solidFill>
              <w14:schemeClr w14:val="tx1"/>
            </w14:solidFill>
          </w14:textFill>
        </w:rPr>
        <w:t>号</w:t>
      </w:r>
      <w:r>
        <w:rPr>
          <w:rFonts w:hint="eastAsia" w:ascii="仿宋_GB2312" w:hAnsi="楷体_GB2312" w:eastAsia="仿宋_GB2312" w:cs="楷体_GB2312"/>
          <w:color w:val="000000" w:themeColor="text1"/>
          <w:sz w:val="32"/>
          <w:szCs w:val="32"/>
          <w:u w:val="none"/>
          <w14:textFill>
            <w14:solidFill>
              <w14:schemeClr w14:val="tx1"/>
            </w14:solidFill>
          </w14:textFill>
        </w:rPr>
        <w:t>），当事人没有陈述申辩意见</w:t>
      </w:r>
      <w:r>
        <w:rPr>
          <w:rFonts w:hint="eastAsia" w:ascii="仿宋_GB2312" w:eastAsia="仿宋_GB2312"/>
          <w:color w:val="000000"/>
          <w:sz w:val="32"/>
          <w:szCs w:val="32"/>
          <w:u w:val="none"/>
        </w:rPr>
        <w:t>。</w:t>
      </w:r>
    </w:p>
    <w:p>
      <w:pPr>
        <w:autoSpaceDE w:val="0"/>
        <w:autoSpaceDN w:val="0"/>
        <w:adjustRightInd w:val="0"/>
        <w:spacing w:after="20" w:line="560" w:lineRule="exact"/>
        <w:ind w:firstLine="640" w:firstLineChars="200"/>
        <w:rPr>
          <w:rFonts w:ascii="仿宋_GB2312" w:hAnsi="Times New Roman" w:eastAsia="仿宋_GB2312" w:cs="仿宋_GB2312"/>
          <w:bCs/>
          <w:sz w:val="32"/>
          <w:szCs w:val="32"/>
          <w:u w:val="none"/>
        </w:rPr>
      </w:pPr>
      <w:r>
        <w:rPr>
          <w:rFonts w:hint="eastAsia" w:ascii="仿宋_GB2312" w:eastAsia="仿宋_GB2312" w:cs="仿宋_GB2312"/>
          <w:kern w:val="1"/>
          <w:sz w:val="32"/>
          <w:szCs w:val="32"/>
          <w:u w:val="none"/>
        </w:rPr>
        <w:t>本局认为，</w:t>
      </w:r>
      <w:r>
        <w:rPr>
          <w:rFonts w:hint="eastAsia" w:ascii="仿宋_GB2312" w:eastAsia="仿宋_GB2312"/>
          <w:bCs/>
          <w:sz w:val="32"/>
          <w:szCs w:val="32"/>
          <w:u w:val="none"/>
        </w:rPr>
        <w:t>当事人上述行为违反了《中华人民共和国特种设备安全法》第四十条第三款“未经定期检验或者检验不合格的特种设备，不得继续使用。”的规定</w:t>
      </w:r>
      <w:r>
        <w:rPr>
          <w:rFonts w:hint="eastAsia" w:ascii="仿宋_GB2312" w:eastAsia="仿宋_GB2312"/>
          <w:color w:val="000000" w:themeColor="text1"/>
          <w:sz w:val="32"/>
          <w:szCs w:val="32"/>
          <w:u w:val="none"/>
          <w14:textFill>
            <w14:solidFill>
              <w14:schemeClr w14:val="tx1"/>
            </w14:solidFill>
          </w14:textFill>
        </w:rPr>
        <w:t>。</w:t>
      </w:r>
    </w:p>
    <w:p>
      <w:pPr>
        <w:snapToGrid w:val="0"/>
        <w:spacing w:line="560" w:lineRule="exact"/>
        <w:ind w:firstLine="640" w:firstLineChars="200"/>
        <w:rPr>
          <w:rFonts w:ascii="仿宋_GB2312" w:eastAsia="仿宋_GB2312" w:cs="仿宋_GB2312"/>
          <w:kern w:val="1"/>
          <w:sz w:val="32"/>
          <w:szCs w:val="32"/>
          <w:u w:val="none"/>
        </w:rPr>
      </w:pPr>
      <w:r>
        <w:rPr>
          <w:rFonts w:hint="eastAsia" w:ascii="仿宋_GB2312" w:eastAsia="仿宋_GB2312" w:cs="仿宋_GB2312"/>
          <w:kern w:val="1"/>
          <w:sz w:val="32"/>
          <w:szCs w:val="32"/>
          <w:u w:val="none"/>
        </w:rPr>
        <w:t>自由裁量理由等其他需要说明的事项：</w:t>
      </w:r>
      <w:bookmarkStart w:id="3" w:name="_Hlk17884807"/>
      <w:r>
        <w:rPr>
          <w:rFonts w:hint="eastAsia" w:eastAsia="仿宋_GB2312" w:cs="仿宋_GB2312"/>
          <w:sz w:val="32"/>
          <w:szCs w:val="32"/>
          <w:u w:val="none"/>
        </w:rPr>
        <w:t>当事人</w:t>
      </w:r>
      <w:bookmarkEnd w:id="3"/>
      <w:r>
        <w:rPr>
          <w:rFonts w:hint="eastAsia" w:eastAsia="仿宋_GB2312" w:cs="仿宋_GB2312"/>
          <w:sz w:val="32"/>
          <w:szCs w:val="32"/>
          <w:u w:val="none"/>
        </w:rPr>
        <w:t>积极配合行政机关检查，应依据《天津市市场和质量监督管理委员会行政处罚裁量适用规则》第十三条第五项的规定予以减轻行政处罚。</w:t>
      </w:r>
      <w:r>
        <w:rPr>
          <w:rFonts w:hint="eastAsia" w:ascii="仿宋_GB2312" w:eastAsia="仿宋_GB2312" w:cs="仿宋_GB2312"/>
          <w:kern w:val="1"/>
          <w:sz w:val="32"/>
          <w:szCs w:val="32"/>
          <w:u w:val="none"/>
        </w:rPr>
        <w:t xml:space="preserve">  </w:t>
      </w:r>
    </w:p>
    <w:p>
      <w:pPr>
        <w:snapToGrid w:val="0"/>
        <w:spacing w:line="560" w:lineRule="exact"/>
        <w:ind w:firstLine="640" w:firstLineChars="200"/>
        <w:rPr>
          <w:rFonts w:ascii="仿宋_GB2312" w:hAnsi="Times New Roman" w:eastAsia="仿宋_GB2312" w:cs="仿宋_GB2312"/>
          <w:bCs/>
          <w:sz w:val="32"/>
          <w:szCs w:val="32"/>
          <w:u w:val="none"/>
        </w:rPr>
      </w:pPr>
      <w:r>
        <w:rPr>
          <w:rFonts w:hint="eastAsia" w:ascii="仿宋_GB2312" w:eastAsia="仿宋_GB2312"/>
          <w:bCs/>
          <w:sz w:val="32"/>
          <w:szCs w:val="32"/>
          <w:u w:val="none"/>
        </w:rPr>
        <w:t>依据《中华人民共和国特种设备安全法》第八十四条第一项“违反本法规定，特种设备使用单位有下列行为之一的，责令停止使用有关特种设备，处三万元以上三十万元以下罚款：（一）使用未取得许可生产，未经检验或者检验不合格的特种设备，或者国家明令淘汰、已经报废的特种设备的；”的规定，责令当事人立即停止</w:t>
      </w:r>
      <w:r>
        <w:rPr>
          <w:rFonts w:hint="eastAsia" w:ascii="仿宋_GB2312" w:eastAsia="仿宋_GB2312"/>
          <w:sz w:val="32"/>
          <w:szCs w:val="32"/>
          <w:u w:val="none"/>
        </w:rPr>
        <w:t>使用未经检验的特种设备，并</w:t>
      </w:r>
      <w:r>
        <w:rPr>
          <w:rFonts w:hint="eastAsia" w:ascii="仿宋_GB2312" w:eastAsia="仿宋_GB2312"/>
          <w:bCs/>
          <w:sz w:val="32"/>
          <w:szCs w:val="32"/>
          <w:u w:val="none"/>
        </w:rPr>
        <w:t>给予以下行政处罚：罚款</w:t>
      </w:r>
      <w:r>
        <w:rPr>
          <w:rFonts w:ascii="仿宋_GB2312" w:eastAsia="仿宋_GB2312"/>
          <w:bCs/>
          <w:sz w:val="32"/>
          <w:szCs w:val="32"/>
          <w:u w:val="none"/>
        </w:rPr>
        <w:t>1</w:t>
      </w:r>
      <w:r>
        <w:rPr>
          <w:rFonts w:hint="eastAsia" w:ascii="仿宋_GB2312" w:eastAsia="仿宋_GB2312"/>
          <w:bCs/>
          <w:sz w:val="32"/>
          <w:szCs w:val="32"/>
          <w:u w:val="none"/>
        </w:rPr>
        <w:t>0000元。</w:t>
      </w:r>
    </w:p>
    <w:p>
      <w:pPr>
        <w:snapToGrid w:val="0"/>
        <w:spacing w:line="560" w:lineRule="exact"/>
        <w:ind w:firstLine="640" w:firstLineChars="200"/>
        <w:rPr>
          <w:rFonts w:ascii="仿宋_GB2312" w:eastAsia="仿宋_GB2312"/>
          <w:sz w:val="32"/>
          <w:szCs w:val="32"/>
          <w:u w:val="none"/>
        </w:rPr>
      </w:pPr>
      <w:r>
        <w:rPr>
          <w:rFonts w:hint="eastAsia" w:ascii="仿宋_GB2312" w:eastAsia="仿宋_GB2312"/>
          <w:sz w:val="32"/>
          <w:szCs w:val="32"/>
          <w:u w:val="none"/>
        </w:rPr>
        <w:t>当事人应于收到本决定书之日起十五日内将罚（没）款缴至</w:t>
      </w:r>
      <w:r>
        <w:rPr>
          <w:rFonts w:hint="eastAsia" w:ascii="仿宋_GB2312" w:eastAsia="仿宋_GB2312" w:cs="仿宋_GB2312"/>
          <w:color w:val="000000" w:themeColor="text1"/>
          <w:kern w:val="1"/>
          <w:sz w:val="32"/>
          <w:szCs w:val="32"/>
          <w:u w:val="none"/>
          <w14:textFill>
            <w14:solidFill>
              <w14:schemeClr w14:val="tx1"/>
            </w14:solidFill>
          </w14:textFill>
        </w:rPr>
        <w:t>中国工商银行天津分行、中国农业银行天津分行、中国银行天津分行、中国建设银行天津分行、中国光大银行天津分行、天津银行、浙商银行天津分行等市财政指定非税收入收缴银行对公网点，或者登陆天津市财政局网站（http://cz.tj.gov.cn）,“网上办事”栏目“非税缴费”模块进行网上缴费。</w:t>
      </w:r>
      <w:r>
        <w:rPr>
          <w:rFonts w:hint="eastAsia" w:ascii="仿宋_GB2312" w:eastAsia="仿宋_GB2312"/>
          <w:sz w:val="32"/>
          <w:szCs w:val="32"/>
          <w:u w:val="none"/>
        </w:rPr>
        <w:t>到期不缴纳罚款的，依据《中华人民共和国行政处罚法》第七十二条的规定，本局将每日按罚款数额的百分之三加处罚款，</w:t>
      </w:r>
      <w:r>
        <w:rPr>
          <w:rFonts w:hint="eastAsia" w:ascii="仿宋_GB2312" w:hAnsi="宋体" w:eastAsia="仿宋_GB2312"/>
          <w:sz w:val="32"/>
          <w:szCs w:val="32"/>
          <w:u w:val="none"/>
        </w:rPr>
        <w:t>并将依法申请人民法院强制执行。</w:t>
      </w:r>
    </w:p>
    <w:p>
      <w:pPr>
        <w:widowControl/>
        <w:snapToGrid w:val="0"/>
        <w:spacing w:line="560" w:lineRule="exact"/>
        <w:ind w:firstLine="640" w:firstLineChars="200"/>
        <w:jc w:val="left"/>
        <w:rPr>
          <w:rFonts w:hint="eastAsia" w:ascii="Times New Roman" w:hAnsi="Times New Roman" w:eastAsia="仿宋_GB2312" w:cs="仿宋"/>
          <w:bCs/>
          <w:color w:val="000000"/>
          <w:sz w:val="32"/>
          <w:szCs w:val="32"/>
          <w:u w:val="none"/>
        </w:rPr>
      </w:pPr>
      <w:r>
        <w:rPr>
          <w:rFonts w:hint="eastAsia" w:ascii="Times New Roman" w:hAnsi="Times New Roman" w:eastAsia="仿宋_GB2312" w:cs="仿宋"/>
          <w:bCs/>
          <w:color w:val="000000"/>
          <w:sz w:val="32"/>
          <w:szCs w:val="32"/>
          <w:u w:val="none"/>
        </w:rPr>
        <w:t>如对本行政处罚决定不服，可以于收到本决定书之日起六十日内依法向天津市北辰区人民政府申请行政复议，也可以于六个月内依法向天津市北辰区人民法院提起行政诉讼。</w:t>
      </w:r>
    </w:p>
    <w:p>
      <w:pPr>
        <w:widowControl/>
        <w:snapToGrid w:val="0"/>
        <w:spacing w:line="560" w:lineRule="exact"/>
        <w:ind w:firstLine="640" w:firstLineChars="200"/>
        <w:jc w:val="left"/>
        <w:rPr>
          <w:rFonts w:ascii="Times New Roman" w:hAnsi="Times New Roman" w:eastAsia="仿宋_GB2312" w:cs="仿宋"/>
          <w:bCs/>
          <w:color w:val="000000"/>
          <w:sz w:val="32"/>
          <w:szCs w:val="32"/>
          <w:u w:val="none"/>
        </w:rPr>
      </w:pPr>
    </w:p>
    <w:p>
      <w:pPr>
        <w:widowControl/>
        <w:snapToGrid w:val="0"/>
        <w:spacing w:line="560" w:lineRule="exact"/>
        <w:ind w:firstLine="640" w:firstLineChars="200"/>
        <w:jc w:val="left"/>
        <w:rPr>
          <w:rFonts w:ascii="Times New Roman" w:hAnsi="Times New Roman" w:eastAsia="仿宋_GB2312" w:cs="仿宋"/>
          <w:bCs/>
          <w:color w:val="000000"/>
          <w:sz w:val="32"/>
          <w:szCs w:val="32"/>
          <w:u w:val="none"/>
        </w:rPr>
      </w:pPr>
    </w:p>
    <w:p>
      <w:pPr>
        <w:widowControl/>
        <w:snapToGrid w:val="0"/>
        <w:spacing w:line="560" w:lineRule="exact"/>
        <w:ind w:firstLine="640" w:firstLineChars="200"/>
        <w:jc w:val="left"/>
        <w:rPr>
          <w:rFonts w:ascii="Times New Roman" w:hAnsi="Times New Roman" w:eastAsia="仿宋_GB2312" w:cs="仿宋"/>
          <w:bCs/>
          <w:color w:val="000000"/>
          <w:sz w:val="32"/>
          <w:szCs w:val="32"/>
          <w:u w:val="none"/>
        </w:rPr>
      </w:pPr>
    </w:p>
    <w:p>
      <w:pPr>
        <w:spacing w:line="560" w:lineRule="exact"/>
        <w:ind w:right="640" w:firstLine="601"/>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rPr>
        <w:t>天津市北辰区市场监督管理局</w:t>
      </w:r>
    </w:p>
    <w:p>
      <w:pPr>
        <w:spacing w:line="560" w:lineRule="exact"/>
        <w:ind w:right="1440" w:firstLine="600"/>
        <w:jc w:val="center"/>
        <w:rPr>
          <w:rFonts w:ascii="仿宋_GB2312" w:hAnsi="Times New Roman" w:eastAsia="仿宋_GB2312" w:cs="仿宋"/>
          <w:color w:val="000000"/>
          <w:sz w:val="32"/>
          <w:szCs w:val="32"/>
          <w:u w:val="none"/>
        </w:rPr>
      </w:pPr>
      <w:r>
        <w:rPr>
          <w:rFonts w:hint="eastAsia" w:ascii="仿宋_GB2312" w:hAnsi="Times New Roman" w:eastAsia="仿宋_GB2312" w:cs="仿宋"/>
          <w:color w:val="000000"/>
          <w:sz w:val="32"/>
          <w:szCs w:val="32"/>
          <w:u w:val="none"/>
          <w:lang w:val="en-US" w:eastAsia="zh-CN"/>
        </w:rPr>
        <w:t xml:space="preserve">                  </w:t>
      </w:r>
      <w:bookmarkStart w:id="4" w:name="_GoBack"/>
      <w:bookmarkEnd w:id="4"/>
      <w:r>
        <w:rPr>
          <w:rFonts w:hint="eastAsia" w:ascii="仿宋_GB2312" w:hAnsi="Times New Roman" w:eastAsia="仿宋_GB2312" w:cs="仿宋"/>
          <w:color w:val="000000"/>
          <w:sz w:val="32"/>
          <w:szCs w:val="32"/>
          <w:u w:val="none"/>
        </w:rPr>
        <w:t>2</w:t>
      </w:r>
      <w:r>
        <w:rPr>
          <w:rFonts w:ascii="仿宋_GB2312" w:hAnsi="Times New Roman" w:eastAsia="仿宋_GB2312" w:cs="仿宋"/>
          <w:color w:val="000000"/>
          <w:sz w:val="32"/>
          <w:szCs w:val="32"/>
          <w:u w:val="none"/>
        </w:rPr>
        <w:t>022</w:t>
      </w:r>
      <w:r>
        <w:rPr>
          <w:rFonts w:hint="eastAsia" w:ascii="仿宋_GB2312" w:hAnsi="Times New Roman" w:eastAsia="仿宋_GB2312" w:cs="仿宋"/>
          <w:color w:val="000000"/>
          <w:sz w:val="32"/>
          <w:szCs w:val="32"/>
          <w:u w:val="none"/>
        </w:rPr>
        <w:t>年</w:t>
      </w:r>
      <w:r>
        <w:rPr>
          <w:rFonts w:ascii="仿宋_GB2312" w:hAnsi="Times New Roman" w:eastAsia="仿宋_GB2312" w:cs="仿宋"/>
          <w:color w:val="000000"/>
          <w:sz w:val="32"/>
          <w:szCs w:val="32"/>
          <w:u w:val="none"/>
        </w:rPr>
        <w:t>2</w:t>
      </w:r>
      <w:r>
        <w:rPr>
          <w:rFonts w:hint="eastAsia" w:ascii="仿宋_GB2312" w:hAnsi="Times New Roman" w:eastAsia="仿宋_GB2312" w:cs="仿宋"/>
          <w:color w:val="000000"/>
          <w:sz w:val="32"/>
          <w:szCs w:val="32"/>
          <w:u w:val="none"/>
        </w:rPr>
        <w:t>月</w:t>
      </w:r>
      <w:r>
        <w:rPr>
          <w:rFonts w:ascii="仿宋_GB2312" w:hAnsi="Times New Roman" w:eastAsia="仿宋_GB2312" w:cs="仿宋"/>
          <w:color w:val="000000"/>
          <w:sz w:val="32"/>
          <w:szCs w:val="32"/>
          <w:u w:val="none"/>
        </w:rPr>
        <w:t>23</w:t>
      </w:r>
      <w:r>
        <w:rPr>
          <w:rFonts w:hint="eastAsia" w:ascii="仿宋_GB2312" w:hAnsi="Times New Roman" w:eastAsia="仿宋_GB2312" w:cs="仿宋"/>
          <w:color w:val="000000"/>
          <w:sz w:val="32"/>
          <w:szCs w:val="32"/>
          <w:u w:val="none"/>
        </w:rPr>
        <w:t>日</w:t>
      </w:r>
    </w:p>
    <w:p>
      <w:pPr>
        <w:spacing w:line="560" w:lineRule="exact"/>
        <w:ind w:right="1440" w:firstLine="600"/>
        <w:jc w:val="center"/>
        <w:rPr>
          <w:rFonts w:ascii="仿宋_GB2312" w:hAnsi="Times New Roman" w:eastAsia="仿宋_GB2312" w:cs="仿宋"/>
          <w:color w:val="000000"/>
          <w:sz w:val="32"/>
          <w:szCs w:val="32"/>
        </w:rPr>
      </w:pPr>
    </w:p>
    <w:p>
      <w:pPr>
        <w:spacing w:line="560" w:lineRule="exact"/>
        <w:rPr>
          <w:rFonts w:ascii="Times New Roman" w:hAnsi="Times New Roman" w:eastAsia="仿宋_GB2312" w:cs="Mongolian Baiti"/>
          <w:bCs/>
          <w:sz w:val="32"/>
          <w:szCs w:val="32"/>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Nimbus Roman No9 L"/>
    <w:panose1 w:val="020B0604020202020204"/>
    <w:charset w:val="86"/>
    <w:family w:val="swiss"/>
    <w:pitch w:val="default"/>
    <w:sig w:usb0="00000000" w:usb1="00000000" w:usb2="0000003F" w:usb3="00000000" w:csb0="003F01FF" w:csb1="0000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75"/>
    <w:rsid w:val="000028BA"/>
    <w:rsid w:val="00020B5E"/>
    <w:rsid w:val="00041708"/>
    <w:rsid w:val="00045177"/>
    <w:rsid w:val="00053BEA"/>
    <w:rsid w:val="00057B7D"/>
    <w:rsid w:val="00057C63"/>
    <w:rsid w:val="000608AE"/>
    <w:rsid w:val="0006528E"/>
    <w:rsid w:val="00067AE6"/>
    <w:rsid w:val="00081E02"/>
    <w:rsid w:val="0009737B"/>
    <w:rsid w:val="000A570E"/>
    <w:rsid w:val="000A7F66"/>
    <w:rsid w:val="000D5A74"/>
    <w:rsid w:val="000D64BE"/>
    <w:rsid w:val="000D7F69"/>
    <w:rsid w:val="000E1CDE"/>
    <w:rsid w:val="00105B3A"/>
    <w:rsid w:val="00124AB7"/>
    <w:rsid w:val="00126073"/>
    <w:rsid w:val="0013009A"/>
    <w:rsid w:val="001302CC"/>
    <w:rsid w:val="00134224"/>
    <w:rsid w:val="00135285"/>
    <w:rsid w:val="0013566B"/>
    <w:rsid w:val="00141265"/>
    <w:rsid w:val="00155150"/>
    <w:rsid w:val="00174513"/>
    <w:rsid w:val="001873DF"/>
    <w:rsid w:val="001935D8"/>
    <w:rsid w:val="001A0A12"/>
    <w:rsid w:val="001A4627"/>
    <w:rsid w:val="001B6371"/>
    <w:rsid w:val="001C48E8"/>
    <w:rsid w:val="001C585A"/>
    <w:rsid w:val="001C6C38"/>
    <w:rsid w:val="001D0DBD"/>
    <w:rsid w:val="001D39FE"/>
    <w:rsid w:val="001D4111"/>
    <w:rsid w:val="001D598A"/>
    <w:rsid w:val="001E186D"/>
    <w:rsid w:val="001E3C01"/>
    <w:rsid w:val="001E4DA8"/>
    <w:rsid w:val="001E73DA"/>
    <w:rsid w:val="001F1F34"/>
    <w:rsid w:val="001F6C46"/>
    <w:rsid w:val="002007C2"/>
    <w:rsid w:val="002303E7"/>
    <w:rsid w:val="00235572"/>
    <w:rsid w:val="00247D93"/>
    <w:rsid w:val="00265AC0"/>
    <w:rsid w:val="00276287"/>
    <w:rsid w:val="0028143B"/>
    <w:rsid w:val="00293DDE"/>
    <w:rsid w:val="002A7ADB"/>
    <w:rsid w:val="002B2A80"/>
    <w:rsid w:val="002C321C"/>
    <w:rsid w:val="002C60A7"/>
    <w:rsid w:val="002D3886"/>
    <w:rsid w:val="002E7F5E"/>
    <w:rsid w:val="002F226E"/>
    <w:rsid w:val="002F7CF0"/>
    <w:rsid w:val="002F7DE3"/>
    <w:rsid w:val="00305C8E"/>
    <w:rsid w:val="00314F50"/>
    <w:rsid w:val="00317337"/>
    <w:rsid w:val="00321374"/>
    <w:rsid w:val="00327185"/>
    <w:rsid w:val="003329C9"/>
    <w:rsid w:val="00337A1C"/>
    <w:rsid w:val="00337E38"/>
    <w:rsid w:val="00343250"/>
    <w:rsid w:val="00381370"/>
    <w:rsid w:val="003842C1"/>
    <w:rsid w:val="00386E2B"/>
    <w:rsid w:val="00395CC8"/>
    <w:rsid w:val="003A14C9"/>
    <w:rsid w:val="003A52F4"/>
    <w:rsid w:val="003B41E5"/>
    <w:rsid w:val="003C2BA3"/>
    <w:rsid w:val="003C2C24"/>
    <w:rsid w:val="003E4778"/>
    <w:rsid w:val="00405F5D"/>
    <w:rsid w:val="00407217"/>
    <w:rsid w:val="00407255"/>
    <w:rsid w:val="004224AB"/>
    <w:rsid w:val="0042497B"/>
    <w:rsid w:val="0042701C"/>
    <w:rsid w:val="00427B75"/>
    <w:rsid w:val="00435C4A"/>
    <w:rsid w:val="0043632E"/>
    <w:rsid w:val="00442709"/>
    <w:rsid w:val="00445C13"/>
    <w:rsid w:val="0045135B"/>
    <w:rsid w:val="004608E5"/>
    <w:rsid w:val="004636C3"/>
    <w:rsid w:val="004671DF"/>
    <w:rsid w:val="00473B02"/>
    <w:rsid w:val="00474830"/>
    <w:rsid w:val="0047772C"/>
    <w:rsid w:val="0048124D"/>
    <w:rsid w:val="00481674"/>
    <w:rsid w:val="00482E7D"/>
    <w:rsid w:val="00485DA1"/>
    <w:rsid w:val="004916F1"/>
    <w:rsid w:val="0049385E"/>
    <w:rsid w:val="004A6F42"/>
    <w:rsid w:val="004B3D5A"/>
    <w:rsid w:val="004C2B30"/>
    <w:rsid w:val="004C43B0"/>
    <w:rsid w:val="004D3A24"/>
    <w:rsid w:val="004D560F"/>
    <w:rsid w:val="004D6BF5"/>
    <w:rsid w:val="004E65FD"/>
    <w:rsid w:val="004F022C"/>
    <w:rsid w:val="004F48D3"/>
    <w:rsid w:val="005062A4"/>
    <w:rsid w:val="00511C98"/>
    <w:rsid w:val="0051608A"/>
    <w:rsid w:val="0051704B"/>
    <w:rsid w:val="00532EE9"/>
    <w:rsid w:val="005531D3"/>
    <w:rsid w:val="00554069"/>
    <w:rsid w:val="00562164"/>
    <w:rsid w:val="00567016"/>
    <w:rsid w:val="005768AA"/>
    <w:rsid w:val="00587A0B"/>
    <w:rsid w:val="00595E1C"/>
    <w:rsid w:val="005A49D8"/>
    <w:rsid w:val="005B0ACC"/>
    <w:rsid w:val="005B59C1"/>
    <w:rsid w:val="005C19B8"/>
    <w:rsid w:val="005F0C43"/>
    <w:rsid w:val="00627BF5"/>
    <w:rsid w:val="00637A54"/>
    <w:rsid w:val="0064186E"/>
    <w:rsid w:val="00646178"/>
    <w:rsid w:val="006464ED"/>
    <w:rsid w:val="00675D60"/>
    <w:rsid w:val="00680F9B"/>
    <w:rsid w:val="00697BFA"/>
    <w:rsid w:val="006C2A53"/>
    <w:rsid w:val="006D6762"/>
    <w:rsid w:val="006E53F2"/>
    <w:rsid w:val="006F0686"/>
    <w:rsid w:val="006F189A"/>
    <w:rsid w:val="006F6ABA"/>
    <w:rsid w:val="006F73D1"/>
    <w:rsid w:val="007011B2"/>
    <w:rsid w:val="00703CD8"/>
    <w:rsid w:val="00707AE2"/>
    <w:rsid w:val="007132A2"/>
    <w:rsid w:val="00720FEE"/>
    <w:rsid w:val="00722A35"/>
    <w:rsid w:val="00723C4F"/>
    <w:rsid w:val="00732AF1"/>
    <w:rsid w:val="007353AA"/>
    <w:rsid w:val="0074714C"/>
    <w:rsid w:val="0075276C"/>
    <w:rsid w:val="00761363"/>
    <w:rsid w:val="007671DD"/>
    <w:rsid w:val="00767D88"/>
    <w:rsid w:val="0077090A"/>
    <w:rsid w:val="00773E0C"/>
    <w:rsid w:val="00774080"/>
    <w:rsid w:val="007776BC"/>
    <w:rsid w:val="00782E4E"/>
    <w:rsid w:val="007A1CC7"/>
    <w:rsid w:val="00805F2E"/>
    <w:rsid w:val="0080739E"/>
    <w:rsid w:val="008104F2"/>
    <w:rsid w:val="00812F80"/>
    <w:rsid w:val="0085391C"/>
    <w:rsid w:val="00856DA8"/>
    <w:rsid w:val="0086200E"/>
    <w:rsid w:val="008724E4"/>
    <w:rsid w:val="008725AF"/>
    <w:rsid w:val="008741F7"/>
    <w:rsid w:val="00876643"/>
    <w:rsid w:val="008873F7"/>
    <w:rsid w:val="0089341B"/>
    <w:rsid w:val="00895575"/>
    <w:rsid w:val="008965DE"/>
    <w:rsid w:val="008A193E"/>
    <w:rsid w:val="008B3CCB"/>
    <w:rsid w:val="008C2445"/>
    <w:rsid w:val="008D64FB"/>
    <w:rsid w:val="008D729E"/>
    <w:rsid w:val="008E0588"/>
    <w:rsid w:val="008E1443"/>
    <w:rsid w:val="008E40E7"/>
    <w:rsid w:val="00911218"/>
    <w:rsid w:val="00915946"/>
    <w:rsid w:val="0091650F"/>
    <w:rsid w:val="009274E0"/>
    <w:rsid w:val="00931B31"/>
    <w:rsid w:val="009354FC"/>
    <w:rsid w:val="00937453"/>
    <w:rsid w:val="0094427C"/>
    <w:rsid w:val="009457E6"/>
    <w:rsid w:val="009504FB"/>
    <w:rsid w:val="00962A65"/>
    <w:rsid w:val="00962FEF"/>
    <w:rsid w:val="00963927"/>
    <w:rsid w:val="00976BC1"/>
    <w:rsid w:val="009962E2"/>
    <w:rsid w:val="009C163D"/>
    <w:rsid w:val="009E333F"/>
    <w:rsid w:val="009E4E31"/>
    <w:rsid w:val="009E657C"/>
    <w:rsid w:val="00A134FA"/>
    <w:rsid w:val="00A13558"/>
    <w:rsid w:val="00A2151F"/>
    <w:rsid w:val="00A23210"/>
    <w:rsid w:val="00A34605"/>
    <w:rsid w:val="00A41BC6"/>
    <w:rsid w:val="00A4409E"/>
    <w:rsid w:val="00A63D32"/>
    <w:rsid w:val="00A87A8A"/>
    <w:rsid w:val="00AA20D6"/>
    <w:rsid w:val="00AB1753"/>
    <w:rsid w:val="00AB538A"/>
    <w:rsid w:val="00AC07E1"/>
    <w:rsid w:val="00AC69AA"/>
    <w:rsid w:val="00AD75C1"/>
    <w:rsid w:val="00AF0F06"/>
    <w:rsid w:val="00AF0F33"/>
    <w:rsid w:val="00AF5F01"/>
    <w:rsid w:val="00B01BF1"/>
    <w:rsid w:val="00B15F14"/>
    <w:rsid w:val="00B16194"/>
    <w:rsid w:val="00B1713C"/>
    <w:rsid w:val="00B24153"/>
    <w:rsid w:val="00B24C52"/>
    <w:rsid w:val="00B25A44"/>
    <w:rsid w:val="00B32DD0"/>
    <w:rsid w:val="00B41939"/>
    <w:rsid w:val="00B43F93"/>
    <w:rsid w:val="00B456FF"/>
    <w:rsid w:val="00B46FC6"/>
    <w:rsid w:val="00B47582"/>
    <w:rsid w:val="00B521D3"/>
    <w:rsid w:val="00B61785"/>
    <w:rsid w:val="00B70024"/>
    <w:rsid w:val="00B715E5"/>
    <w:rsid w:val="00B94081"/>
    <w:rsid w:val="00BB1341"/>
    <w:rsid w:val="00BB3E72"/>
    <w:rsid w:val="00BB5E94"/>
    <w:rsid w:val="00BC0712"/>
    <w:rsid w:val="00BC4D3A"/>
    <w:rsid w:val="00BE5B68"/>
    <w:rsid w:val="00C01915"/>
    <w:rsid w:val="00C035FD"/>
    <w:rsid w:val="00C040D2"/>
    <w:rsid w:val="00C20D6D"/>
    <w:rsid w:val="00C233F4"/>
    <w:rsid w:val="00C2360C"/>
    <w:rsid w:val="00C36D99"/>
    <w:rsid w:val="00C41D11"/>
    <w:rsid w:val="00C50582"/>
    <w:rsid w:val="00C56E90"/>
    <w:rsid w:val="00C663B2"/>
    <w:rsid w:val="00C770AC"/>
    <w:rsid w:val="00C80C46"/>
    <w:rsid w:val="00CA0F0E"/>
    <w:rsid w:val="00CA197E"/>
    <w:rsid w:val="00CB0B4C"/>
    <w:rsid w:val="00CB2332"/>
    <w:rsid w:val="00CB7D73"/>
    <w:rsid w:val="00CC0458"/>
    <w:rsid w:val="00CC0B55"/>
    <w:rsid w:val="00CC0D8B"/>
    <w:rsid w:val="00CC6D35"/>
    <w:rsid w:val="00CD367F"/>
    <w:rsid w:val="00CF22A6"/>
    <w:rsid w:val="00CF29F0"/>
    <w:rsid w:val="00CF2A1F"/>
    <w:rsid w:val="00CF4344"/>
    <w:rsid w:val="00CF55F1"/>
    <w:rsid w:val="00D02646"/>
    <w:rsid w:val="00D02E15"/>
    <w:rsid w:val="00D13F70"/>
    <w:rsid w:val="00D14DAC"/>
    <w:rsid w:val="00D16BF8"/>
    <w:rsid w:val="00D21432"/>
    <w:rsid w:val="00D312C1"/>
    <w:rsid w:val="00D4026C"/>
    <w:rsid w:val="00D60146"/>
    <w:rsid w:val="00D60585"/>
    <w:rsid w:val="00D62831"/>
    <w:rsid w:val="00D72A83"/>
    <w:rsid w:val="00D76CF2"/>
    <w:rsid w:val="00D83C52"/>
    <w:rsid w:val="00D94930"/>
    <w:rsid w:val="00DA5F69"/>
    <w:rsid w:val="00DA6426"/>
    <w:rsid w:val="00DB5407"/>
    <w:rsid w:val="00DC0672"/>
    <w:rsid w:val="00DC43CB"/>
    <w:rsid w:val="00DD216C"/>
    <w:rsid w:val="00DE3219"/>
    <w:rsid w:val="00DE371E"/>
    <w:rsid w:val="00E07A7F"/>
    <w:rsid w:val="00E14755"/>
    <w:rsid w:val="00E15DDA"/>
    <w:rsid w:val="00E24FF1"/>
    <w:rsid w:val="00E46F2E"/>
    <w:rsid w:val="00E54E33"/>
    <w:rsid w:val="00E852A2"/>
    <w:rsid w:val="00EA384A"/>
    <w:rsid w:val="00EA54CA"/>
    <w:rsid w:val="00EA77B4"/>
    <w:rsid w:val="00EC56D7"/>
    <w:rsid w:val="00ED373D"/>
    <w:rsid w:val="00EF5784"/>
    <w:rsid w:val="00F04577"/>
    <w:rsid w:val="00F1492F"/>
    <w:rsid w:val="00F200BA"/>
    <w:rsid w:val="00F37CB7"/>
    <w:rsid w:val="00F43C99"/>
    <w:rsid w:val="00F53FEE"/>
    <w:rsid w:val="00F542EB"/>
    <w:rsid w:val="00F65ECB"/>
    <w:rsid w:val="00F83874"/>
    <w:rsid w:val="00F84B4F"/>
    <w:rsid w:val="00FA04C3"/>
    <w:rsid w:val="00FA0CA3"/>
    <w:rsid w:val="00FA4AF7"/>
    <w:rsid w:val="00FA5536"/>
    <w:rsid w:val="00FC2479"/>
    <w:rsid w:val="00FC3E04"/>
    <w:rsid w:val="00FC4E1C"/>
    <w:rsid w:val="00FD74EE"/>
    <w:rsid w:val="00FE353B"/>
    <w:rsid w:val="00FE3AFD"/>
    <w:rsid w:val="00FE5BA4"/>
    <w:rsid w:val="5FEBAD63"/>
    <w:rsid w:val="7F7FC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正文文本 Char"/>
    <w:basedOn w:val="8"/>
    <w:semiHidden/>
    <w:qFormat/>
    <w:uiPriority w:val="99"/>
    <w:rPr>
      <w:rFonts w:ascii="Calibri" w:hAnsi="Calibri" w:eastAsia="宋体" w:cs="Times New Roman"/>
      <w:szCs w:val="24"/>
    </w:rPr>
  </w:style>
  <w:style w:type="character" w:customStyle="1" w:styleId="12">
    <w:name w:val="正文文本 Char1"/>
    <w:link w:val="2"/>
    <w:qFormat/>
    <w:uiPriority w:val="1"/>
    <w:rPr>
      <w:rFonts w:ascii="Arial Unicode MS" w:hAnsi="Times New Roman" w:eastAsia="Arial Unicode MS" w:cs="Times New Roman"/>
      <w:kern w:val="0"/>
      <w:sz w:val="32"/>
      <w:szCs w:val="32"/>
    </w:rPr>
  </w:style>
  <w:style w:type="paragraph" w:customStyle="1" w:styleId="13">
    <w:name w:val="2文本"/>
    <w:qFormat/>
    <w:uiPriority w:val="0"/>
    <w:pPr>
      <w:widowControl w:val="0"/>
      <w:suppressAutoHyphens/>
      <w:ind w:firstLine="200"/>
      <w:jc w:val="both"/>
    </w:pPr>
    <w:rPr>
      <w:rFonts w:ascii="Times New Roman" w:hAnsi="Times New Roman" w:eastAsia="宋体" w:cs="Times New Roman"/>
      <w:color w:val="000000"/>
      <w:kern w:val="1"/>
      <w:sz w:val="20"/>
      <w:szCs w:val="20"/>
      <w:lang w:val="en-US" w:eastAsia="zh-CN" w:bidi="ar-SA"/>
    </w:rPr>
  </w:style>
  <w:style w:type="character" w:customStyle="1" w:styleId="14">
    <w:name w:val="批注框文本 Char"/>
    <w:basedOn w:val="8"/>
    <w:link w:val="4"/>
    <w:semiHidden/>
    <w:qFormat/>
    <w:uiPriority w:val="99"/>
    <w:rPr>
      <w:rFonts w:ascii="Calibri" w:hAnsi="Calibri" w:eastAsia="宋体" w:cs="Times New Roman"/>
      <w:sz w:val="18"/>
      <w:szCs w:val="18"/>
    </w:rPr>
  </w:style>
  <w:style w:type="character" w:customStyle="1" w:styleId="15">
    <w:name w:val="日期 Char"/>
    <w:basedOn w:val="8"/>
    <w:link w:val="3"/>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天津市北辰区市场和质量监督管理局</Company>
  <Pages>3</Pages>
  <Words>302</Words>
  <Characters>1723</Characters>
  <Lines>14</Lines>
  <Paragraphs>4</Paragraphs>
  <TotalTime>75</TotalTime>
  <ScaleCrop>false</ScaleCrop>
  <LinksUpToDate>false</LinksUpToDate>
  <CharactersWithSpaces>2021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2021-08-05T18:58:00Z</dcterms:created>
  <dc:creator>林正禄</dc:creator>
  <cp:lastModifiedBy>greatwall</cp:lastModifiedBy>
  <cp:lastPrinted>2021-08-20T22:35:00Z</cp:lastPrinted>
  <dcterms:modified xsi:type="dcterms:W3CDTF">2022-02-25T14:23:51Z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