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sz w:val="44"/>
          <w:szCs w:val="44"/>
          <w:u w:val="none"/>
        </w:rPr>
        <w:t>天津市北辰区</w:t>
      </w:r>
      <w:r>
        <w:rPr>
          <w:rFonts w:hint="eastAsia" w:ascii="Times New Roman" w:hAnsi="Times New Roman" w:eastAsia="方正小标宋简体" w:cs="方正小标宋简体"/>
          <w:bCs/>
          <w:color w:val="000000"/>
          <w:sz w:val="44"/>
          <w:szCs w:val="44"/>
          <w:u w:val="none"/>
        </w:rPr>
        <w:t>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keepNext w:val="0"/>
        <w:keepLines w:val="0"/>
        <w:pageBreakBefore w:val="0"/>
        <w:widowControl w:val="0"/>
        <w:kinsoku/>
        <w:wordWrap w:val="0"/>
        <w:overflowPunct/>
        <w:topLinePunct w:val="0"/>
        <w:autoSpaceDE/>
        <w:autoSpaceDN/>
        <w:bidi w:val="0"/>
        <w:adjustRightInd/>
        <w:snapToGrid w:val="0"/>
        <w:spacing w:before="312" w:beforeLines="100" w:after="312" w:afterLines="100" w:line="560" w:lineRule="exact"/>
        <w:jc w:val="center"/>
        <w:textAlignment w:val="auto"/>
        <w:rPr>
          <w:rFonts w:ascii="仿宋_GB2312" w:hAnsi="仿宋_GB2312" w:eastAsia="仿宋_GB2312" w:cs="仿宋_GB2312"/>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 xml:space="preserve"> </w:t>
      </w:r>
      <w:r>
        <w:rPr>
          <w:rFonts w:hint="eastAsia" w:ascii="仿宋_GB2312" w:hAnsi="仿宋_GB2312" w:eastAsia="仿宋_GB2312" w:cs="仿宋_GB2312"/>
          <w:color w:val="000000"/>
          <w:sz w:val="32"/>
          <w:szCs w:val="32"/>
          <w:u w:val="none"/>
        </w:rPr>
        <w:t>津辰</w:t>
      </w:r>
      <w:r>
        <w:rPr>
          <w:rFonts w:hint="eastAsia" w:ascii="仿宋_GB2312" w:hAnsi="仿宋_GB2312" w:eastAsia="仿宋_GB2312" w:cs="仿宋_GB2312"/>
          <w:bCs/>
          <w:color w:val="000000"/>
          <w:sz w:val="32"/>
          <w:szCs w:val="32"/>
          <w:u w:val="none"/>
        </w:rPr>
        <w:t>市监处罚〔2021〕</w:t>
      </w:r>
      <w:r>
        <w:rPr>
          <w:rFonts w:hint="eastAsia" w:ascii="仿宋_GB2312" w:hAnsi="仿宋_GB2312" w:eastAsia="仿宋_GB2312" w:cs="仿宋_GB2312"/>
          <w:bCs/>
          <w:color w:val="000000"/>
          <w:sz w:val="32"/>
          <w:szCs w:val="32"/>
          <w:u w:val="none"/>
        </w:rPr>
        <w:t>13</w:t>
      </w:r>
      <w:r>
        <w:rPr>
          <w:rFonts w:ascii="仿宋_GB2312" w:hAnsi="仿宋_GB2312" w:eastAsia="仿宋_GB2312" w:cs="仿宋_GB2312"/>
          <w:bCs/>
          <w:color w:val="000000"/>
          <w:sz w:val="32"/>
          <w:szCs w:val="32"/>
          <w:u w:val="none"/>
        </w:rPr>
        <w:t>17</w:t>
      </w:r>
      <w:r>
        <w:rPr>
          <w:rFonts w:hint="eastAsia" w:ascii="仿宋_GB2312" w:hAnsi="仿宋_GB2312" w:eastAsia="仿宋_GB2312" w:cs="仿宋_GB2312"/>
          <w:bCs/>
          <w:color w:val="000000"/>
          <w:sz w:val="32"/>
          <w:szCs w:val="32"/>
          <w:u w:val="none"/>
        </w:rPr>
        <w:t>号</w:t>
      </w:r>
    </w:p>
    <w:p>
      <w:pPr>
        <w:keepNext w:val="0"/>
        <w:keepLines w:val="0"/>
        <w:pageBreakBefore w:val="0"/>
        <w:widowControl w:val="0"/>
        <w:kinsoku/>
        <w:overflowPunct/>
        <w:topLinePunct w:val="0"/>
        <w:autoSpaceDE/>
        <w:autoSpaceDN/>
        <w:bidi w:val="0"/>
        <w:adjustRightInd/>
        <w:spacing w:line="560" w:lineRule="exact"/>
        <w:textAlignment w:val="auto"/>
        <w:rPr>
          <w:rFonts w:ascii="仿宋_GB2312" w:hAnsi="仿宋_GB2312" w:eastAsia="仿宋_GB2312" w:cs="仿宋_GB2312"/>
          <w:sz w:val="32"/>
          <w:szCs w:val="32"/>
          <w:u w:val="none"/>
        </w:rPr>
      </w:pPr>
      <w:r>
        <w:rPr>
          <w:rFonts w:hint="eastAsia" w:ascii="仿宋_GB2312" w:hAnsi="仿宋_GB2312" w:eastAsia="仿宋_GB2312" w:cs="仿宋_GB2312"/>
          <w:kern w:val="1"/>
          <w:sz w:val="32"/>
          <w:szCs w:val="32"/>
          <w:u w:val="none"/>
        </w:rPr>
        <w:t>当事人：</w:t>
      </w:r>
      <w:r>
        <w:rPr>
          <w:rFonts w:hint="eastAsia" w:ascii="Times New Roman" w:hAnsi="Times New Roman" w:eastAsia="仿宋_GB2312" w:cs="Mongolian Baiti"/>
          <w:kern w:val="1"/>
          <w:sz w:val="32"/>
          <w:szCs w:val="32"/>
          <w:u w:val="none"/>
        </w:rPr>
        <w:t>天津倍特车业有限公司</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overflowPunct/>
        <w:topLinePunct w:val="0"/>
        <w:autoSpaceDE/>
        <w:autoSpaceDN/>
        <w:bidi w:val="0"/>
        <w:adjustRightInd/>
        <w:spacing w:line="560" w:lineRule="exact"/>
        <w:ind w:left="140" w:hanging="140"/>
        <w:textAlignment w:val="auto"/>
        <w:rPr>
          <w:rFonts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主体资格证照名称：</w:t>
      </w:r>
      <w:r>
        <w:rPr>
          <w:rFonts w:hint="eastAsia" w:ascii="仿宋_GB2312" w:hAnsi="仿宋_GB2312" w:eastAsia="仿宋_GB2312" w:cs="仿宋_GB2312"/>
          <w:kern w:val="1"/>
          <w:sz w:val="32"/>
          <w:szCs w:val="32"/>
          <w:u w:val="none"/>
        </w:rPr>
        <w:t xml:space="preserve">  营业执照                                   </w:t>
      </w:r>
    </w:p>
    <w:p>
      <w:pPr>
        <w:keepNext w:val="0"/>
        <w:keepLines w:val="0"/>
        <w:pageBreakBefore w:val="0"/>
        <w:widowControl w:val="0"/>
        <w:kinsoku/>
        <w:overflowPunct/>
        <w:topLinePunct w:val="0"/>
        <w:autoSpaceDE/>
        <w:autoSpaceDN/>
        <w:bidi w:val="0"/>
        <w:adjustRightInd/>
        <w:spacing w:line="560" w:lineRule="exact"/>
        <w:ind w:left="140" w:hanging="140"/>
        <w:textAlignment w:val="auto"/>
        <w:rPr>
          <w:rFonts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统一社会信用代码（注册号）：</w:t>
      </w:r>
      <w:r>
        <w:rPr>
          <w:rFonts w:hint="eastAsia" w:ascii="仿宋_GB2312" w:hAnsi="Mongolian Baiti" w:eastAsia="仿宋_GB2312" w:cs="Mongolian Baiti"/>
          <w:kern w:val="1"/>
          <w:sz w:val="32"/>
          <w:szCs w:val="32"/>
          <w:u w:val="none"/>
        </w:rPr>
        <w:t>91120113MA0</w:t>
      </w:r>
      <w:r>
        <w:rPr>
          <w:rFonts w:ascii="仿宋_GB2312" w:hAnsi="Mongolian Baiti" w:eastAsia="仿宋_GB2312" w:cs="Mongolian Baiti"/>
          <w:kern w:val="1"/>
          <w:sz w:val="32"/>
          <w:szCs w:val="32"/>
          <w:u w:val="none"/>
        </w:rPr>
        <w:t>6Y5XD8C</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overflowPunct/>
        <w:topLinePunct w:val="0"/>
        <w:autoSpaceDE/>
        <w:autoSpaceDN/>
        <w:bidi w:val="0"/>
        <w:adjustRightInd/>
        <w:spacing w:line="560" w:lineRule="exact"/>
        <w:textAlignment w:val="auto"/>
        <w:rPr>
          <w:rFonts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住所（住址）：</w:t>
      </w:r>
      <w:r>
        <w:rPr>
          <w:rFonts w:hint="eastAsia" w:ascii="仿宋_GB2312" w:hAnsi="Mongolian Baiti" w:eastAsia="仿宋_GB2312" w:cs="Mongolian Baiti"/>
          <w:kern w:val="1"/>
          <w:sz w:val="32"/>
          <w:szCs w:val="32"/>
          <w:u w:val="none"/>
        </w:rPr>
        <w:t>天津市北辰区双口镇</w:t>
      </w:r>
      <w:r>
        <w:rPr>
          <w:rFonts w:ascii="仿宋_GB2312" w:hAnsi="Mongolian Baiti" w:eastAsia="仿宋_GB2312" w:cs="Mongolian Baiti"/>
          <w:kern w:val="1"/>
          <w:sz w:val="32"/>
          <w:szCs w:val="32"/>
          <w:u w:val="none"/>
        </w:rPr>
        <w:t>后</w:t>
      </w:r>
      <w:r>
        <w:rPr>
          <w:rFonts w:hint="eastAsia" w:ascii="仿宋_GB2312" w:hAnsi="Mongolian Baiti" w:eastAsia="仿宋_GB2312" w:cs="Mongolian Baiti"/>
          <w:kern w:val="1"/>
          <w:sz w:val="32"/>
          <w:szCs w:val="32"/>
          <w:u w:val="none"/>
        </w:rPr>
        <w:t>丁庄</w:t>
      </w:r>
      <w:r>
        <w:rPr>
          <w:rFonts w:ascii="仿宋_GB2312" w:hAnsi="Mongolian Baiti" w:eastAsia="仿宋_GB2312" w:cs="Mongolian Baiti"/>
          <w:kern w:val="1"/>
          <w:sz w:val="32"/>
          <w:szCs w:val="32"/>
          <w:u w:val="none"/>
        </w:rPr>
        <w:t>路</w:t>
      </w:r>
      <w:r>
        <w:rPr>
          <w:rFonts w:hint="eastAsia" w:ascii="仿宋_GB2312" w:hAnsi="Mongolian Baiti" w:eastAsia="仿宋_GB2312" w:cs="Mongolian Baiti"/>
          <w:kern w:val="1"/>
          <w:sz w:val="32"/>
          <w:szCs w:val="32"/>
          <w:u w:val="none"/>
        </w:rPr>
        <w:t>13号</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overflowPunct/>
        <w:topLinePunct w:val="0"/>
        <w:autoSpaceDE/>
        <w:autoSpaceDN/>
        <w:bidi w:val="0"/>
        <w:adjustRightInd/>
        <w:spacing w:line="560" w:lineRule="exact"/>
        <w:ind w:left="140" w:hanging="140"/>
        <w:textAlignment w:val="auto"/>
        <w:rPr>
          <w:rFonts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法定代表人（负责人、经营者）：</w:t>
      </w:r>
      <w:r>
        <w:rPr>
          <w:rFonts w:hint="eastAsia" w:ascii="Times New Roman" w:hAnsi="Times New Roman" w:eastAsia="仿宋_GB2312" w:cs="Mongolian Baiti"/>
          <w:kern w:val="1"/>
          <w:sz w:val="32"/>
          <w:szCs w:val="32"/>
          <w:u w:val="none"/>
        </w:rPr>
        <w:t>刘靖</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overflowPunct/>
        <w:topLinePunct w:val="0"/>
        <w:autoSpaceDE/>
        <w:autoSpaceDN/>
        <w:bidi w:val="0"/>
        <w:adjustRightInd/>
        <w:spacing w:line="560" w:lineRule="exact"/>
        <w:ind w:left="140" w:hanging="140"/>
        <w:textAlignment w:val="auto"/>
        <w:rPr>
          <w:rFonts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身份证号：</w:t>
      </w:r>
      <w:r>
        <w:rPr>
          <w:rFonts w:hint="default" w:ascii="仿宋_GB2312" w:hAnsi="仿宋_GB2312" w:eastAsia="仿宋_GB2312" w:cs="仿宋_GB2312"/>
          <w:kern w:val="1"/>
          <w:sz w:val="32"/>
          <w:szCs w:val="32"/>
          <w:u w:val="none"/>
          <w:lang w:val="en"/>
        </w:rPr>
        <w:t>\</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案件来源及调查经过：2021年10月22日，我局接到国家自行车电动自行车质量检验检测中心送来的检验报告（No：2141</w:t>
      </w:r>
      <w:r>
        <w:rPr>
          <w:rFonts w:ascii="仿宋_GB2312" w:hAnsi="仿宋_GB2312" w:eastAsia="仿宋_GB2312" w:cs="仿宋_GB2312"/>
          <w:color w:val="000000"/>
          <w:sz w:val="32"/>
          <w:szCs w:val="32"/>
          <w:u w:val="none"/>
        </w:rPr>
        <w:t>257</w:t>
      </w:r>
      <w:r>
        <w:rPr>
          <w:rFonts w:hint="eastAsia" w:ascii="仿宋_GB2312" w:hAnsi="仿宋_GB2312" w:eastAsia="仿宋_GB2312" w:cs="仿宋_GB2312"/>
          <w:color w:val="000000"/>
          <w:sz w:val="32"/>
          <w:szCs w:val="32"/>
          <w:u w:val="none"/>
        </w:rPr>
        <w:t>），报告显示天津倍特车业有限公司生产的：生产日期为2021年</w:t>
      </w:r>
      <w:r>
        <w:rPr>
          <w:rFonts w:ascii="仿宋_GB2312" w:hAnsi="仿宋_GB2312" w:eastAsia="仿宋_GB2312" w:cs="仿宋_GB2312"/>
          <w:color w:val="000000"/>
          <w:sz w:val="32"/>
          <w:szCs w:val="32"/>
          <w:u w:val="none"/>
        </w:rPr>
        <w:t>5</w:t>
      </w:r>
      <w:r>
        <w:rPr>
          <w:rFonts w:hint="eastAsia" w:ascii="仿宋_GB2312" w:hAnsi="仿宋_GB2312" w:eastAsia="仿宋_GB2312" w:cs="仿宋_GB2312"/>
          <w:color w:val="000000"/>
          <w:sz w:val="32"/>
          <w:szCs w:val="32"/>
          <w:u w:val="none"/>
        </w:rPr>
        <w:t>月</w:t>
      </w:r>
      <w:r>
        <w:rPr>
          <w:rFonts w:ascii="仿宋_GB2312" w:hAnsi="仿宋_GB2312" w:eastAsia="仿宋_GB2312" w:cs="仿宋_GB2312"/>
          <w:color w:val="000000"/>
          <w:sz w:val="32"/>
          <w:szCs w:val="32"/>
          <w:u w:val="none"/>
        </w:rPr>
        <w:t>24</w:t>
      </w:r>
      <w:r>
        <w:rPr>
          <w:rFonts w:hint="eastAsia" w:ascii="仿宋_GB2312" w:hAnsi="仿宋_GB2312" w:eastAsia="仿宋_GB2312" w:cs="仿宋_GB2312"/>
          <w:color w:val="000000"/>
          <w:sz w:val="32"/>
          <w:szCs w:val="32"/>
          <w:u w:val="none"/>
        </w:rPr>
        <w:t>日、商标为倍特（英文</w:t>
      </w:r>
      <w:r>
        <w:rPr>
          <w:rFonts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rPr>
        <w:t>BGB）、规格型号为TDT</w:t>
      </w:r>
      <w:r>
        <w:rPr>
          <w:rFonts w:ascii="仿宋_GB2312" w:hAnsi="仿宋_GB2312" w:eastAsia="仿宋_GB2312" w:cs="仿宋_GB2312"/>
          <w:color w:val="000000"/>
          <w:sz w:val="32"/>
          <w:szCs w:val="32"/>
          <w:u w:val="none"/>
        </w:rPr>
        <w:t>002</w:t>
      </w:r>
      <w:r>
        <w:rPr>
          <w:rFonts w:hint="eastAsia" w:ascii="仿宋_GB2312" w:hAnsi="仿宋_GB2312" w:eastAsia="仿宋_GB2312" w:cs="仿宋_GB2312"/>
          <w:color w:val="000000"/>
          <w:sz w:val="32"/>
          <w:szCs w:val="32"/>
          <w:u w:val="none"/>
        </w:rPr>
        <w:t>Z的电动自行车在天津市市场监督管理委员会组织的监督抽查中，经国家自行车电动自行车质量检验检测中心抽样检验，照明、</w:t>
      </w:r>
      <w:r>
        <w:rPr>
          <w:rFonts w:ascii="仿宋_GB2312" w:hAnsi="仿宋_GB2312" w:eastAsia="仿宋_GB2312" w:cs="仿宋_GB2312"/>
          <w:color w:val="000000"/>
          <w:sz w:val="32"/>
          <w:szCs w:val="32"/>
          <w:u w:val="none"/>
        </w:rPr>
        <w:t>导线布线</w:t>
      </w:r>
      <w:r>
        <w:rPr>
          <w:rFonts w:hint="eastAsia" w:ascii="仿宋_GB2312" w:hAnsi="仿宋_GB2312" w:eastAsia="仿宋_GB2312" w:cs="仿宋_GB2312"/>
          <w:color w:val="000000"/>
          <w:sz w:val="32"/>
          <w:szCs w:val="32"/>
          <w:u w:val="none"/>
        </w:rPr>
        <w:t>项目不符合GB17761-2018标准，依据《电动自行车产品质量国家监督抽查实施细则》，判定为不合格。我局执法人员根据该检验报告内容于2021年10月2</w:t>
      </w:r>
      <w:r>
        <w:rPr>
          <w:rFonts w:ascii="仿宋_GB2312" w:hAnsi="仿宋_GB2312" w:eastAsia="仿宋_GB2312" w:cs="仿宋_GB2312"/>
          <w:color w:val="000000"/>
          <w:sz w:val="32"/>
          <w:szCs w:val="32"/>
          <w:u w:val="none"/>
        </w:rPr>
        <w:t>8</w:t>
      </w:r>
      <w:r>
        <w:rPr>
          <w:rFonts w:hint="eastAsia" w:ascii="仿宋_GB2312" w:hAnsi="仿宋_GB2312" w:eastAsia="仿宋_GB2312" w:cs="仿宋_GB2312"/>
          <w:color w:val="000000"/>
          <w:sz w:val="32"/>
          <w:szCs w:val="32"/>
          <w:u w:val="none"/>
        </w:rPr>
        <w:t>日对当事人进行执法检查，当事人确认该批次抽检不合格产品为当事人生产，并对检验报告结果无异议。当事人生产的</w:t>
      </w:r>
      <w:r>
        <w:rPr>
          <w:rFonts w:ascii="仿宋_GB2312" w:hAnsi="仿宋_GB2312" w:eastAsia="仿宋_GB2312" w:cs="仿宋_GB2312"/>
          <w:color w:val="000000"/>
          <w:sz w:val="32"/>
          <w:szCs w:val="32"/>
          <w:u w:val="none"/>
        </w:rPr>
        <w:t>该批次</w:t>
      </w:r>
      <w:r>
        <w:rPr>
          <w:rFonts w:hint="eastAsia" w:ascii="仿宋_GB2312" w:hAnsi="仿宋_GB2312" w:eastAsia="仿宋_GB2312" w:cs="仿宋_GB2312"/>
          <w:color w:val="000000"/>
          <w:sz w:val="32"/>
          <w:szCs w:val="32"/>
          <w:u w:val="none"/>
        </w:rPr>
        <w:t>抽检不合格产品均</w:t>
      </w:r>
      <w:r>
        <w:rPr>
          <w:rFonts w:ascii="仿宋_GB2312" w:hAnsi="仿宋_GB2312" w:eastAsia="仿宋_GB2312" w:cs="仿宋_GB2312"/>
          <w:color w:val="000000"/>
          <w:sz w:val="32"/>
          <w:szCs w:val="32"/>
          <w:u w:val="none"/>
        </w:rPr>
        <w:t>未销售，</w:t>
      </w:r>
      <w:r>
        <w:rPr>
          <w:rFonts w:hint="eastAsia" w:ascii="仿宋_GB2312" w:hAnsi="仿宋_GB2312" w:eastAsia="仿宋_GB2312" w:cs="仿宋_GB2312"/>
          <w:color w:val="000000"/>
          <w:sz w:val="32"/>
          <w:szCs w:val="32"/>
          <w:u w:val="none"/>
        </w:rPr>
        <w:t xml:space="preserve">现场未发现上述批次产品。当事人因涉嫌生产销售不符合保障人体健康和人身财产安全的国家标准的电动自行车行为，2021年11月2日经批准予以立案。                  </w:t>
      </w:r>
    </w:p>
    <w:p>
      <w:pPr>
        <w:keepNext w:val="0"/>
        <w:keepLines w:val="0"/>
        <w:pageBreakBefore w:val="0"/>
        <w:widowControl w:val="0"/>
        <w:kinsoku/>
        <w:overflowPunct/>
        <w:topLinePunct w:val="0"/>
        <w:autoSpaceDE/>
        <w:autoSpaceDN/>
        <w:bidi w:val="0"/>
        <w:adjustRightInd/>
        <w:spacing w:line="560" w:lineRule="exact"/>
        <w:ind w:firstLine="660"/>
        <w:textAlignment w:val="auto"/>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经查，当事人2021年</w:t>
      </w:r>
      <w:r>
        <w:rPr>
          <w:rFonts w:ascii="仿宋_GB2312" w:hAnsi="仿宋_GB2312" w:eastAsia="仿宋_GB2312" w:cs="仿宋_GB2312"/>
          <w:color w:val="000000"/>
          <w:sz w:val="32"/>
          <w:szCs w:val="32"/>
          <w:u w:val="none"/>
        </w:rPr>
        <w:t>5</w:t>
      </w:r>
      <w:r>
        <w:rPr>
          <w:rFonts w:hint="eastAsia" w:ascii="仿宋_GB2312" w:hAnsi="仿宋_GB2312" w:eastAsia="仿宋_GB2312" w:cs="仿宋_GB2312"/>
          <w:color w:val="000000"/>
          <w:sz w:val="32"/>
          <w:szCs w:val="32"/>
          <w:u w:val="none"/>
        </w:rPr>
        <w:t>月</w:t>
      </w:r>
      <w:r>
        <w:rPr>
          <w:rFonts w:ascii="仿宋_GB2312" w:hAnsi="仿宋_GB2312" w:eastAsia="仿宋_GB2312" w:cs="仿宋_GB2312"/>
          <w:color w:val="000000"/>
          <w:sz w:val="32"/>
          <w:szCs w:val="32"/>
          <w:u w:val="none"/>
        </w:rPr>
        <w:t>24</w:t>
      </w:r>
      <w:r>
        <w:rPr>
          <w:rFonts w:hint="eastAsia" w:ascii="仿宋_GB2312" w:hAnsi="仿宋_GB2312" w:eastAsia="仿宋_GB2312" w:cs="仿宋_GB2312"/>
          <w:color w:val="000000"/>
          <w:sz w:val="32"/>
          <w:szCs w:val="32"/>
          <w:u w:val="none"/>
        </w:rPr>
        <w:t>日生产，商标为倍特（英文</w:t>
      </w:r>
      <w:r>
        <w:rPr>
          <w:rFonts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rPr>
        <w:t>BGB）、规格型号为TDT</w:t>
      </w:r>
      <w:r>
        <w:rPr>
          <w:rFonts w:ascii="仿宋_GB2312" w:hAnsi="仿宋_GB2312" w:eastAsia="仿宋_GB2312" w:cs="仿宋_GB2312"/>
          <w:color w:val="000000"/>
          <w:sz w:val="32"/>
          <w:szCs w:val="32"/>
          <w:u w:val="none"/>
        </w:rPr>
        <w:t>002</w:t>
      </w:r>
      <w:r>
        <w:rPr>
          <w:rFonts w:hint="eastAsia" w:ascii="仿宋_GB2312" w:hAnsi="仿宋_GB2312" w:eastAsia="仿宋_GB2312" w:cs="仿宋_GB2312"/>
          <w:color w:val="000000"/>
          <w:sz w:val="32"/>
          <w:szCs w:val="32"/>
          <w:u w:val="none"/>
        </w:rPr>
        <w:t>Z的电动自行车在天津市市场监督管理委员会组织的监督抽查中，经国家自行车电动自行车质量检验检测中心抽样检验，照明、</w:t>
      </w:r>
      <w:r>
        <w:rPr>
          <w:rFonts w:ascii="仿宋_GB2312" w:hAnsi="仿宋_GB2312" w:eastAsia="仿宋_GB2312" w:cs="仿宋_GB2312"/>
          <w:color w:val="000000"/>
          <w:sz w:val="32"/>
          <w:szCs w:val="32"/>
          <w:u w:val="none"/>
        </w:rPr>
        <w:t>导线布线</w:t>
      </w:r>
      <w:r>
        <w:rPr>
          <w:rFonts w:hint="eastAsia" w:ascii="仿宋_GB2312" w:hAnsi="仿宋_GB2312" w:eastAsia="仿宋_GB2312" w:cs="仿宋_GB2312"/>
          <w:color w:val="000000"/>
          <w:sz w:val="32"/>
          <w:szCs w:val="32"/>
          <w:u w:val="none"/>
        </w:rPr>
        <w:t>项目不符合GB17761-2018标准，依据《电动自行车产品质量国家监督抽查实施细则》，判定为不合格。当事人对上述检验结果无异议，在复检期内未提出复检申请。上述行为满足生产销售不符合保障人体健康和人身财产安全的国家标准的电动自行车行为的构成要件。当事人共生产上述两批次电动自行车</w:t>
      </w:r>
      <w:r>
        <w:rPr>
          <w:rFonts w:ascii="仿宋_GB2312" w:hAnsi="仿宋_GB2312" w:eastAsia="仿宋_GB2312" w:cs="仿宋_GB2312"/>
          <w:color w:val="000000"/>
          <w:sz w:val="32"/>
          <w:szCs w:val="32"/>
          <w:u w:val="none"/>
        </w:rPr>
        <w:t>14</w:t>
      </w:r>
      <w:r>
        <w:rPr>
          <w:rFonts w:hint="eastAsia" w:ascii="仿宋_GB2312" w:hAnsi="仿宋_GB2312" w:eastAsia="仿宋_GB2312" w:cs="仿宋_GB2312"/>
          <w:color w:val="000000"/>
          <w:sz w:val="32"/>
          <w:szCs w:val="32"/>
          <w:u w:val="none"/>
        </w:rPr>
        <w:t>辆，未销售，本案货值金额</w:t>
      </w:r>
      <w:r>
        <w:rPr>
          <w:rFonts w:ascii="仿宋_GB2312" w:hAnsi="仿宋_GB2312" w:eastAsia="仿宋_GB2312" w:cs="仿宋_GB2312"/>
          <w:color w:val="000000"/>
          <w:sz w:val="32"/>
          <w:szCs w:val="32"/>
          <w:u w:val="none"/>
        </w:rPr>
        <w:t>7518</w:t>
      </w:r>
      <w:r>
        <w:rPr>
          <w:rFonts w:hint="eastAsia" w:ascii="仿宋_GB2312" w:hAnsi="仿宋_GB2312" w:eastAsia="仿宋_GB2312" w:cs="仿宋_GB2312"/>
          <w:color w:val="000000"/>
          <w:sz w:val="32"/>
          <w:szCs w:val="32"/>
          <w:u w:val="none"/>
        </w:rPr>
        <w:t xml:space="preserve">元，无违法所得。                                                          </w:t>
      </w:r>
    </w:p>
    <w:p>
      <w:pPr>
        <w:keepNext w:val="0"/>
        <w:keepLines w:val="0"/>
        <w:pageBreakBefore w:val="0"/>
        <w:widowControl w:val="0"/>
        <w:kinsoku/>
        <w:overflowPunct/>
        <w:topLinePunct w:val="0"/>
        <w:autoSpaceDE/>
        <w:autoSpaceDN/>
        <w:bidi w:val="0"/>
        <w:adjustRightInd/>
        <w:spacing w:line="560" w:lineRule="exact"/>
        <w:textAlignment w:val="auto"/>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上述事实，主要有以下证据证明：</w:t>
      </w:r>
    </w:p>
    <w:p>
      <w:pPr>
        <w:keepNext w:val="0"/>
        <w:keepLines w:val="0"/>
        <w:pageBreakBefore w:val="0"/>
        <w:widowControl w:val="0"/>
        <w:tabs>
          <w:tab w:val="left" w:pos="312"/>
        </w:tabs>
        <w:kinsoku/>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sz w:val="32"/>
          <w:szCs w:val="32"/>
          <w:u w:val="none"/>
        </w:rPr>
      </w:pPr>
      <w:r>
        <w:rPr>
          <w:rFonts w:ascii="仿宋_GB2312" w:hAnsi="仿宋_GB2312" w:eastAsia="仿宋_GB2312" w:cs="仿宋_GB2312"/>
          <w:color w:val="000000"/>
          <w:sz w:val="32"/>
          <w:szCs w:val="32"/>
          <w:u w:val="none"/>
        </w:rPr>
        <w:t>1.</w:t>
      </w:r>
      <w:r>
        <w:rPr>
          <w:rFonts w:hint="eastAsia" w:ascii="仿宋_GB2312" w:hAnsi="仿宋_GB2312" w:eastAsia="仿宋_GB2312" w:cs="仿宋_GB2312"/>
          <w:color w:val="000000"/>
          <w:sz w:val="32"/>
          <w:szCs w:val="32"/>
          <w:u w:val="none"/>
        </w:rPr>
        <w:t>当事人的营业执照复印件、中国国家</w:t>
      </w:r>
      <w:r>
        <w:rPr>
          <w:rFonts w:ascii="仿宋_GB2312" w:hAnsi="仿宋_GB2312" w:eastAsia="仿宋_GB2312" w:cs="仿宋_GB2312"/>
          <w:color w:val="000000"/>
          <w:sz w:val="32"/>
          <w:szCs w:val="32"/>
          <w:u w:val="none"/>
        </w:rPr>
        <w:t>强制性产品认证证书、</w:t>
      </w:r>
      <w:r>
        <w:rPr>
          <w:rFonts w:hint="eastAsia" w:ascii="仿宋_GB2312" w:hAnsi="仿宋_GB2312" w:eastAsia="仿宋_GB2312" w:cs="仿宋_GB2312"/>
          <w:color w:val="000000"/>
          <w:sz w:val="32"/>
          <w:szCs w:val="32"/>
          <w:u w:val="none"/>
        </w:rPr>
        <w:t>法定代表人身份证复印件； 2.《检验报告》（报告编号：No：2141</w:t>
      </w:r>
      <w:r>
        <w:rPr>
          <w:rFonts w:ascii="仿宋_GB2312" w:hAnsi="仿宋_GB2312" w:eastAsia="仿宋_GB2312" w:cs="仿宋_GB2312"/>
          <w:color w:val="000000"/>
          <w:sz w:val="32"/>
          <w:szCs w:val="32"/>
          <w:u w:val="none"/>
        </w:rPr>
        <w:t>257</w:t>
      </w:r>
      <w:r>
        <w:rPr>
          <w:rFonts w:hint="eastAsia" w:ascii="仿宋_GB2312" w:hAnsi="仿宋_GB2312" w:eastAsia="仿宋_GB2312" w:cs="仿宋_GB2312"/>
          <w:color w:val="000000"/>
          <w:sz w:val="32"/>
          <w:szCs w:val="32"/>
          <w:u w:val="none"/>
        </w:rPr>
        <w:t>）；3. 产品生产执行标准GB 17761-2018《电动自行车通用技术条件》文本的首页、标准适用范围、标准前言、标准关键项目指标要求打印件；4. 对法定代表人</w:t>
      </w:r>
      <w:r>
        <w:rPr>
          <w:rFonts w:hint="eastAsia" w:ascii="Times New Roman" w:hAnsi="Times New Roman" w:eastAsia="仿宋_GB2312" w:cs="仿宋"/>
          <w:sz w:val="32"/>
          <w:szCs w:val="32"/>
          <w:u w:val="none"/>
        </w:rPr>
        <w:t>刘靖</w:t>
      </w:r>
      <w:r>
        <w:rPr>
          <w:rFonts w:hint="eastAsia" w:ascii="仿宋_GB2312" w:hAnsi="仿宋_GB2312" w:eastAsia="仿宋_GB2312" w:cs="仿宋_GB2312"/>
          <w:color w:val="000000"/>
          <w:sz w:val="32"/>
          <w:szCs w:val="32"/>
          <w:u w:val="none"/>
        </w:rPr>
        <w:t>的询问笔录；5．现场笔录、生产单</w:t>
      </w:r>
      <w:r>
        <w:rPr>
          <w:rFonts w:hint="eastAsia" w:ascii="Times New Roman" w:hAnsi="Times New Roman" w:eastAsia="仿宋_GB2312" w:cs="仿宋"/>
          <w:sz w:val="32"/>
          <w:szCs w:val="32"/>
          <w:u w:val="none"/>
        </w:rPr>
        <w:t>、配置单</w:t>
      </w:r>
      <w:r>
        <w:rPr>
          <w:rFonts w:hint="eastAsia" w:ascii="仿宋_GB2312" w:hAnsi="仿宋_GB2312" w:eastAsia="仿宋_GB2312" w:cs="仿宋_GB2312"/>
          <w:color w:val="000000"/>
          <w:sz w:val="32"/>
          <w:szCs w:val="32"/>
          <w:u w:val="none"/>
        </w:rPr>
        <w:t>、货值金额计算表；6、整改报告、不合格产品销毁</w:t>
      </w:r>
      <w:r>
        <w:rPr>
          <w:rFonts w:ascii="仿宋_GB2312" w:hAnsi="仿宋_GB2312" w:eastAsia="仿宋_GB2312" w:cs="仿宋_GB2312"/>
          <w:color w:val="000000"/>
          <w:sz w:val="32"/>
          <w:szCs w:val="32"/>
          <w:u w:val="none"/>
        </w:rPr>
        <w:t>记录</w:t>
      </w:r>
      <w:r>
        <w:rPr>
          <w:rFonts w:hint="eastAsia" w:ascii="仿宋_GB2312" w:hAnsi="仿宋_GB2312" w:eastAsia="仿宋_GB2312" w:cs="仿宋_GB2312"/>
          <w:color w:val="000000"/>
          <w:sz w:val="32"/>
          <w:szCs w:val="32"/>
          <w:u w:val="none"/>
        </w:rPr>
        <w:t xml:space="preserve">。                                      </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仿宋_GB2312" w:eastAsia="仿宋_GB2312" w:cs="仿宋_GB2312"/>
          <w:bCs/>
          <w:color w:val="000000"/>
          <w:sz w:val="32"/>
          <w:szCs w:val="32"/>
          <w:u w:val="none"/>
        </w:rPr>
      </w:pPr>
      <w:r>
        <w:rPr>
          <w:rFonts w:hint="eastAsia" w:ascii="仿宋_GB2312" w:hAnsi="仿宋_GB2312" w:eastAsia="仿宋_GB2312" w:cs="仿宋_GB2312"/>
          <w:color w:val="000000"/>
          <w:sz w:val="32"/>
          <w:szCs w:val="32"/>
          <w:u w:val="none"/>
        </w:rPr>
        <w:t>行政处罚告知情况，当事人陈述、申辩、听证意见，                             复核以及采纳情况和理由：本局于202</w:t>
      </w:r>
      <w:r>
        <w:rPr>
          <w:rFonts w:ascii="仿宋_GB2312" w:hAnsi="仿宋_GB2312" w:eastAsia="仿宋_GB2312" w:cs="仿宋_GB2312"/>
          <w:color w:val="000000"/>
          <w:sz w:val="32"/>
          <w:szCs w:val="32"/>
          <w:u w:val="none"/>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5</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10</w:t>
      </w:r>
      <w:r>
        <w:rPr>
          <w:rFonts w:hint="eastAsia" w:ascii="仿宋_GB2312" w:hAnsi="仿宋_GB2312" w:eastAsia="仿宋_GB2312" w:cs="仿宋_GB2312"/>
          <w:color w:val="000000"/>
          <w:sz w:val="32"/>
          <w:szCs w:val="32"/>
          <w:u w:val="none"/>
        </w:rPr>
        <w:t>日依法向当事人送达了《行政处罚告知书》（津辰市监罚告〔2021〕</w:t>
      </w:r>
      <w:r>
        <w:rPr>
          <w:rFonts w:ascii="仿宋_GB2312" w:hAnsi="仿宋_GB2312" w:eastAsia="仿宋_GB2312" w:cs="仿宋_GB2312"/>
          <w:sz w:val="32"/>
          <w:szCs w:val="32"/>
          <w:u w:val="none"/>
          <w:lang w:val="en"/>
        </w:rPr>
        <w:t>1317</w:t>
      </w:r>
      <w:r>
        <w:rPr>
          <w:rFonts w:hint="eastAsia" w:ascii="仿宋_GB2312" w:hAnsi="仿宋_GB2312" w:eastAsia="仿宋_GB2312" w:cs="仿宋_GB2312"/>
          <w:color w:val="000000"/>
          <w:sz w:val="32"/>
          <w:szCs w:val="32"/>
          <w:u w:val="none"/>
        </w:rPr>
        <w:t>号），当事人未提出陈述申辩意见。</w:t>
      </w:r>
      <w:r>
        <w:rPr>
          <w:rFonts w:hint="eastAsia" w:ascii="仿宋_GB2312" w:hAnsi="仿宋_GB2312" w:eastAsia="仿宋_GB2312" w:cs="仿宋_GB2312"/>
          <w:bCs/>
          <w:color w:val="000000"/>
          <w:sz w:val="32"/>
          <w:szCs w:val="32"/>
          <w:u w:val="none"/>
        </w:rPr>
        <w:t xml:space="preserve">                                             </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本局认为，当事人上述行为违反了《中华人民共和国产品质量法》第十三条第二款“禁止生产、销售不符合保障人体健康和人身、财产安全的标准和要求的工业产品。具体管理办法由国务院规定。”和第二十六条第二款第一项“产品质量应当符合下列要求：（一）不存在危及人身、财产安全的不合理的危险，有保障人体健康和人身、财产安全的国家标准、行业标准的，应当符合该标准”的规定。                 </w:t>
      </w:r>
      <w:r>
        <w:rPr>
          <w:rFonts w:ascii="仿宋_GB2312" w:hAnsi="仿宋_GB2312" w:eastAsia="仿宋_GB2312" w:cs="仿宋_GB2312"/>
          <w:color w:val="000000"/>
          <w:sz w:val="32"/>
          <w:szCs w:val="32"/>
          <w:u w:val="none"/>
        </w:rPr>
        <w:t xml:space="preserve">             </w:t>
      </w:r>
      <w:r>
        <w:rPr>
          <w:rFonts w:hint="eastAsia" w:ascii="仿宋_GB2312" w:hAnsi="仿宋_GB2312" w:eastAsia="仿宋_GB2312" w:cs="仿宋_GB2312"/>
          <w:color w:val="000000"/>
          <w:sz w:val="32"/>
          <w:szCs w:val="32"/>
          <w:u w:val="none"/>
        </w:rPr>
        <w:t xml:space="preserve">         </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鉴于当事人能够积极配合执法人员调查取证，积极提供相关单据，积极进行整改，应依据《中华人民共和国行政处罚法》第三十二条第一款第五项和《天津市市场和质量监督管理委员会行政处罚裁量适用规则》第十三条第五项的规定予以从轻处罚。</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的规定进行处罚。</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sz w:val="32"/>
          <w:szCs w:val="32"/>
          <w:u w:val="none"/>
        </w:rPr>
      </w:pPr>
      <w:r>
        <w:rPr>
          <w:rFonts w:hint="eastAsia" w:ascii="仿宋_GB2312" w:hAnsi="仿宋_GB2312" w:eastAsia="仿宋_GB2312" w:cs="仿宋_GB2312"/>
          <w:kern w:val="1"/>
          <w:sz w:val="32"/>
          <w:szCs w:val="32"/>
          <w:u w:val="none"/>
        </w:rPr>
        <w:t>综</w:t>
      </w:r>
      <w:r>
        <w:rPr>
          <w:rFonts w:hint="eastAsia" w:ascii="仿宋_GB2312" w:hAnsi="仿宋_GB2312" w:eastAsia="仿宋_GB2312" w:cs="仿宋_GB2312"/>
          <w:color w:val="000000"/>
          <w:sz w:val="32"/>
          <w:szCs w:val="32"/>
          <w:u w:val="none"/>
        </w:rPr>
        <w:t>上，当事人上述行为违反了《中华人民共和国产品质量法》第十三条第二款和第二十六条第二款第一项的规定，依据中华人民共和国产品质量法》第四十九条的规定，现责令当事人停止生产销售不符合保障人体健康和人身财产安全的国家标准的电动自行车行为，并决定处罚如下：处违法生产产品货值金额等额的罚款</w:t>
      </w:r>
      <w:r>
        <w:rPr>
          <w:rFonts w:ascii="仿宋_GB2312" w:hAnsi="仿宋_GB2312" w:eastAsia="仿宋_GB2312" w:cs="仿宋_GB2312"/>
          <w:color w:val="000000"/>
          <w:sz w:val="32"/>
          <w:szCs w:val="32"/>
          <w:u w:val="none"/>
        </w:rPr>
        <w:t>7518</w:t>
      </w:r>
      <w:r>
        <w:rPr>
          <w:rFonts w:hint="eastAsia" w:ascii="仿宋_GB2312" w:hAnsi="仿宋_GB2312" w:eastAsia="仿宋_GB2312" w:cs="仿宋_GB2312"/>
          <w:color w:val="000000"/>
          <w:sz w:val="32"/>
          <w:szCs w:val="32"/>
          <w:u w:val="none"/>
        </w:rPr>
        <w:t xml:space="preserve">元。                       </w:t>
      </w:r>
      <w:r>
        <w:rPr>
          <w:rFonts w:hint="eastAsia" w:ascii="仿宋_GB2312" w:hAnsi="仿宋_GB2312" w:eastAsia="仿宋_GB2312" w:cs="仿宋_GB2312"/>
          <w:color w:val="000000"/>
          <w:u w:val="none"/>
        </w:rPr>
        <w:t xml:space="preserve">                                               </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当事人应当自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到期不缴纳罚款的，依据《中华人民共和国行政处罚法》第七十二条第一款第一项的规定，每日按罚款数额的百分之三加处罚款，并将依法申请人民法院强制执行。                      </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如对本行政处罚决定不服，可以于收到本决定书之日起六十日内向天津市北辰区人民政府申请复议，也可以于六个月内依法向天津市北辰区人民法院提起行政诉讼。申请行政复议或者提起行政诉讼期间，行政处罚不停止执行。                                                    </w:t>
      </w:r>
      <w:r>
        <w:rPr>
          <w:rFonts w:hint="eastAsia" w:ascii="仿宋_GB2312" w:hAnsi="仿宋_GB2312" w:eastAsia="仿宋_GB2312" w:cs="仿宋_GB2312"/>
          <w:bCs/>
          <w:color w:val="000000"/>
          <w:sz w:val="32"/>
          <w:szCs w:val="32"/>
          <w:u w:val="none"/>
        </w:rPr>
        <w:t xml:space="preserve">    </w:t>
      </w:r>
    </w:p>
    <w:p>
      <w:pPr>
        <w:keepNext w:val="0"/>
        <w:keepLines w:val="0"/>
        <w:pageBreakBefore w:val="0"/>
        <w:widowControl w:val="0"/>
        <w:kinsoku/>
        <w:overflowPunct/>
        <w:topLinePunct w:val="0"/>
        <w:autoSpaceDE/>
        <w:autoSpaceDN/>
        <w:bidi w:val="0"/>
        <w:adjustRightInd/>
        <w:spacing w:line="560" w:lineRule="exact"/>
        <w:ind w:firstLine="601"/>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w:t>
      </w:r>
    </w:p>
    <w:p>
      <w:pPr>
        <w:keepNext w:val="0"/>
        <w:keepLines w:val="0"/>
        <w:pageBreakBefore w:val="0"/>
        <w:widowControl w:val="0"/>
        <w:kinsoku/>
        <w:overflowPunct/>
        <w:topLinePunct w:val="0"/>
        <w:autoSpaceDE/>
        <w:autoSpaceDN/>
        <w:bidi w:val="0"/>
        <w:adjustRightInd/>
        <w:spacing w:line="560" w:lineRule="exact"/>
        <w:ind w:firstLine="601"/>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w:t>
      </w:r>
    </w:p>
    <w:p>
      <w:pPr>
        <w:keepNext w:val="0"/>
        <w:keepLines w:val="0"/>
        <w:pageBreakBefore w:val="0"/>
        <w:widowControl w:val="0"/>
        <w:kinsoku/>
        <w:overflowPunct/>
        <w:topLinePunct w:val="0"/>
        <w:autoSpaceDE/>
        <w:autoSpaceDN/>
        <w:bidi w:val="0"/>
        <w:adjustRightInd/>
        <w:spacing w:line="560" w:lineRule="exact"/>
        <w:ind w:firstLine="601"/>
        <w:jc w:val="center"/>
        <w:textAlignment w:val="auto"/>
        <w:rPr>
          <w:rFonts w:hint="eastAsia" w:ascii="仿宋_GB2312" w:hAnsi="仿宋_GB2312" w:eastAsia="仿宋_GB2312" w:cs="仿宋_GB2312"/>
          <w:color w:val="000000"/>
          <w:sz w:val="32"/>
          <w:szCs w:val="32"/>
          <w:u w:val="none"/>
        </w:rPr>
      </w:pPr>
    </w:p>
    <w:p>
      <w:pPr>
        <w:keepNext w:val="0"/>
        <w:keepLines w:val="0"/>
        <w:pageBreakBefore w:val="0"/>
        <w:widowControl w:val="0"/>
        <w:kinsoku/>
        <w:overflowPunct/>
        <w:topLinePunct w:val="0"/>
        <w:autoSpaceDE/>
        <w:autoSpaceDN/>
        <w:bidi w:val="0"/>
        <w:adjustRightInd/>
        <w:spacing w:line="560" w:lineRule="exact"/>
        <w:ind w:firstLine="601"/>
        <w:jc w:val="center"/>
        <w:textAlignment w:val="auto"/>
        <w:rPr>
          <w:rFonts w:hint="eastAsia" w:ascii="仿宋_GB2312" w:hAnsi="仿宋_GB2312" w:eastAsia="仿宋_GB2312" w:cs="仿宋_GB2312"/>
          <w:color w:val="000000"/>
          <w:sz w:val="32"/>
          <w:szCs w:val="32"/>
          <w:u w:val="none"/>
        </w:rPr>
      </w:pPr>
    </w:p>
    <w:p>
      <w:pPr>
        <w:keepNext w:val="0"/>
        <w:keepLines w:val="0"/>
        <w:pageBreakBefore w:val="0"/>
        <w:widowControl w:val="0"/>
        <w:kinsoku/>
        <w:overflowPunct/>
        <w:topLinePunct w:val="0"/>
        <w:autoSpaceDE/>
        <w:autoSpaceDN/>
        <w:bidi w:val="0"/>
        <w:adjustRightInd/>
        <w:spacing w:line="560" w:lineRule="exact"/>
        <w:ind w:firstLine="601"/>
        <w:jc w:val="center"/>
        <w:textAlignment w:val="auto"/>
        <w:rPr>
          <w:rFonts w:hint="eastAsia" w:ascii="仿宋_GB2312" w:hAnsi="仿宋_GB2312" w:eastAsia="仿宋_GB2312" w:cs="仿宋_GB2312"/>
          <w:color w:val="000000"/>
          <w:sz w:val="32"/>
          <w:szCs w:val="32"/>
          <w:u w:val="none"/>
        </w:rPr>
      </w:pPr>
    </w:p>
    <w:p>
      <w:pPr>
        <w:keepNext w:val="0"/>
        <w:keepLines w:val="0"/>
        <w:pageBreakBefore w:val="0"/>
        <w:widowControl w:val="0"/>
        <w:kinsoku/>
        <w:overflowPunct/>
        <w:topLinePunct w:val="0"/>
        <w:autoSpaceDE/>
        <w:autoSpaceDN/>
        <w:bidi w:val="0"/>
        <w:adjustRightInd/>
        <w:spacing w:line="560" w:lineRule="exact"/>
        <w:ind w:firstLine="3360" w:firstLineChars="1050"/>
        <w:textAlignment w:val="auto"/>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天津市北辰区市场监督管理局</w:t>
      </w:r>
    </w:p>
    <w:p>
      <w:pPr>
        <w:keepNext w:val="0"/>
        <w:keepLines w:val="0"/>
        <w:pageBreakBefore w:val="0"/>
        <w:widowControl w:val="0"/>
        <w:kinsoku/>
        <w:overflowPunct/>
        <w:topLinePunct w:val="0"/>
        <w:autoSpaceDE/>
        <w:autoSpaceDN/>
        <w:bidi w:val="0"/>
        <w:adjustRightInd/>
        <w:spacing w:line="560" w:lineRule="exact"/>
        <w:ind w:right="640" w:firstLine="600"/>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202</w:t>
      </w:r>
      <w:r>
        <w:rPr>
          <w:rFonts w:hint="eastAsia" w:ascii="仿宋_GB2312" w:hAnsi="仿宋_GB2312" w:eastAsia="仿宋_GB2312" w:cs="仿宋_GB2312"/>
          <w:color w:val="000000"/>
          <w:sz w:val="32"/>
          <w:szCs w:val="32"/>
          <w:u w:val="none"/>
          <w:lang w:val="en"/>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5</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20</w:t>
      </w:r>
      <w:r>
        <w:rPr>
          <w:rFonts w:hint="eastAsia" w:ascii="仿宋_GB2312" w:hAnsi="仿宋_GB2312" w:eastAsia="仿宋_GB2312" w:cs="仿宋_GB2312"/>
          <w:color w:val="000000"/>
          <w:sz w:val="32"/>
          <w:szCs w:val="32"/>
          <w:u w:val="none"/>
        </w:rPr>
        <w:t>日</w:t>
      </w:r>
    </w:p>
    <w:p>
      <w:pPr>
        <w:spacing w:line="600" w:lineRule="auto"/>
        <w:ind w:right="640" w:firstLine="600"/>
        <w:jc w:val="center"/>
        <w:rPr>
          <w:rFonts w:hint="eastAsia" w:ascii="仿宋_GB2312" w:hAnsi="仿宋_GB2312" w:eastAsia="仿宋_GB2312" w:cs="仿宋_GB2312"/>
          <w:color w:val="000000"/>
          <w:sz w:val="32"/>
          <w:szCs w:val="32"/>
          <w:u w:val="none"/>
        </w:rPr>
      </w:pPr>
    </w:p>
    <w:p>
      <w:pPr>
        <w:spacing w:line="600" w:lineRule="auto"/>
        <w:ind w:right="640" w:firstLine="600"/>
        <w:jc w:val="center"/>
        <w:rPr>
          <w:rFonts w:hint="eastAsia" w:ascii="仿宋_GB2312" w:hAnsi="仿宋_GB2312" w:eastAsia="仿宋_GB2312" w:cs="仿宋_GB2312"/>
          <w:color w:val="000000"/>
          <w:sz w:val="32"/>
          <w:szCs w:val="32"/>
          <w:u w:val="none"/>
        </w:rPr>
      </w:pPr>
    </w:p>
    <w:p>
      <w:pPr>
        <w:spacing w:line="600" w:lineRule="auto"/>
        <w:ind w:right="640" w:firstLine="600"/>
        <w:jc w:val="center"/>
        <w:rPr>
          <w:rFonts w:hint="eastAsia" w:ascii="仿宋_GB2312" w:hAnsi="仿宋_GB2312" w:eastAsia="仿宋_GB2312" w:cs="仿宋_GB2312"/>
          <w:color w:val="000000"/>
          <w:sz w:val="32"/>
          <w:szCs w:val="32"/>
          <w:u w:val="none"/>
        </w:rPr>
      </w:pPr>
    </w:p>
    <w:p>
      <w:pPr>
        <w:spacing w:line="600" w:lineRule="auto"/>
        <w:ind w:right="640" w:firstLine="600"/>
        <w:jc w:val="center"/>
        <w:rPr>
          <w:rFonts w:hint="eastAsia" w:ascii="仿宋_GB2312" w:hAnsi="仿宋_GB2312" w:eastAsia="仿宋_GB2312" w:cs="仿宋_GB2312"/>
          <w:color w:val="000000"/>
          <w:sz w:val="32"/>
          <w:szCs w:val="32"/>
          <w:u w:val="none"/>
        </w:rPr>
      </w:pPr>
    </w:p>
    <w:p>
      <w:pPr>
        <w:spacing w:line="600" w:lineRule="auto"/>
        <w:ind w:right="640" w:firstLine="600"/>
        <w:jc w:val="center"/>
        <w:rPr>
          <w:rFonts w:hint="eastAsia" w:ascii="仿宋_GB2312" w:hAnsi="仿宋_GB2312" w:eastAsia="仿宋_GB2312" w:cs="仿宋_GB2312"/>
          <w:color w:val="000000"/>
          <w:sz w:val="32"/>
          <w:szCs w:val="32"/>
          <w:u w:val="none"/>
        </w:rPr>
      </w:pPr>
    </w:p>
    <w:p>
      <w:pPr>
        <w:wordWrap w:val="0"/>
        <w:spacing w:line="520" w:lineRule="exact"/>
        <w:rPr>
          <w:rFonts w:ascii="Times New Roman" w:hAnsi="Times New Roman" w:eastAsia="仿宋_GB2312" w:cs="仿宋"/>
          <w:color w:val="000000"/>
          <w:sz w:val="32"/>
          <w:szCs w:val="32"/>
          <w:u w:val="none"/>
        </w:rPr>
      </w:pPr>
      <w:bookmarkStart w:id="0" w:name="_GoBack"/>
      <w:bookmarkEnd w:id="0"/>
    </w:p>
    <w:sectPr>
      <w:footerReference r:id="rId3" w:type="default"/>
      <w:pgSz w:w="11906" w:h="16838"/>
      <w:pgMar w:top="1440" w:right="1559" w:bottom="1440" w:left="1559"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angal">
    <w:altName w:val="FreeSerif"/>
    <w:panose1 w:val="02040503050203030202"/>
    <w:charset w:val="00"/>
    <w:family w:val="roman"/>
    <w:pitch w:val="default"/>
    <w:sig w:usb0="00000000" w:usb1="00000000" w:usb2="00000000" w:usb3="00000000" w:csb0="00000001" w:csb1="00000000"/>
  </w:font>
  <w:font w:name="Arial Unicode MS">
    <w:altName w:val="DejaVu Sans"/>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34"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5C"/>
    <w:rsid w:val="000564DA"/>
    <w:rsid w:val="0008368A"/>
    <w:rsid w:val="000A746C"/>
    <w:rsid w:val="000C0F14"/>
    <w:rsid w:val="000C3824"/>
    <w:rsid w:val="000C7A5C"/>
    <w:rsid w:val="000D7689"/>
    <w:rsid w:val="000E3505"/>
    <w:rsid w:val="000F4854"/>
    <w:rsid w:val="001207F8"/>
    <w:rsid w:val="0012243F"/>
    <w:rsid w:val="00123974"/>
    <w:rsid w:val="00124120"/>
    <w:rsid w:val="001330E2"/>
    <w:rsid w:val="0017341D"/>
    <w:rsid w:val="001D6900"/>
    <w:rsid w:val="002004BE"/>
    <w:rsid w:val="0022276A"/>
    <w:rsid w:val="00233A4F"/>
    <w:rsid w:val="00251432"/>
    <w:rsid w:val="002644FA"/>
    <w:rsid w:val="002A1B30"/>
    <w:rsid w:val="0031594F"/>
    <w:rsid w:val="0031692E"/>
    <w:rsid w:val="00323CEB"/>
    <w:rsid w:val="003A5B4A"/>
    <w:rsid w:val="003A5FA5"/>
    <w:rsid w:val="0046627F"/>
    <w:rsid w:val="00474F49"/>
    <w:rsid w:val="004B0577"/>
    <w:rsid w:val="004C6A77"/>
    <w:rsid w:val="004E2B41"/>
    <w:rsid w:val="004E7B15"/>
    <w:rsid w:val="005867B8"/>
    <w:rsid w:val="005B621A"/>
    <w:rsid w:val="00663E8C"/>
    <w:rsid w:val="006949D8"/>
    <w:rsid w:val="006C7D3A"/>
    <w:rsid w:val="006D7485"/>
    <w:rsid w:val="006E505F"/>
    <w:rsid w:val="006F4968"/>
    <w:rsid w:val="006F5544"/>
    <w:rsid w:val="00745E36"/>
    <w:rsid w:val="00752FAD"/>
    <w:rsid w:val="00767212"/>
    <w:rsid w:val="007F60A6"/>
    <w:rsid w:val="00825023"/>
    <w:rsid w:val="0083489A"/>
    <w:rsid w:val="00872EF8"/>
    <w:rsid w:val="008979CE"/>
    <w:rsid w:val="009204AB"/>
    <w:rsid w:val="00961074"/>
    <w:rsid w:val="0096728C"/>
    <w:rsid w:val="0096793B"/>
    <w:rsid w:val="009E2A8A"/>
    <w:rsid w:val="009F53EA"/>
    <w:rsid w:val="00A75FFC"/>
    <w:rsid w:val="00B15FEA"/>
    <w:rsid w:val="00B35FE7"/>
    <w:rsid w:val="00B4366D"/>
    <w:rsid w:val="00B55965"/>
    <w:rsid w:val="00B67709"/>
    <w:rsid w:val="00BD454A"/>
    <w:rsid w:val="00BF402F"/>
    <w:rsid w:val="00C35660"/>
    <w:rsid w:val="00C35E58"/>
    <w:rsid w:val="00C37FB2"/>
    <w:rsid w:val="00C71A6D"/>
    <w:rsid w:val="00C75305"/>
    <w:rsid w:val="00CB1841"/>
    <w:rsid w:val="00CB3F65"/>
    <w:rsid w:val="00CB7885"/>
    <w:rsid w:val="00CD3338"/>
    <w:rsid w:val="00CD4465"/>
    <w:rsid w:val="00CD7F21"/>
    <w:rsid w:val="00CE1575"/>
    <w:rsid w:val="00D0771A"/>
    <w:rsid w:val="00D1425C"/>
    <w:rsid w:val="00D14B63"/>
    <w:rsid w:val="00D36C04"/>
    <w:rsid w:val="00D4119D"/>
    <w:rsid w:val="00D464E5"/>
    <w:rsid w:val="00D6099D"/>
    <w:rsid w:val="00DA5A1E"/>
    <w:rsid w:val="00DB199E"/>
    <w:rsid w:val="00DC28BB"/>
    <w:rsid w:val="00E03D54"/>
    <w:rsid w:val="00E12A86"/>
    <w:rsid w:val="00E2761A"/>
    <w:rsid w:val="00E601AF"/>
    <w:rsid w:val="00E921CF"/>
    <w:rsid w:val="00EB10BE"/>
    <w:rsid w:val="00EC6498"/>
    <w:rsid w:val="00F16F58"/>
    <w:rsid w:val="00F548CF"/>
    <w:rsid w:val="00F563B7"/>
    <w:rsid w:val="00F56A0D"/>
    <w:rsid w:val="00F85712"/>
    <w:rsid w:val="00FB1290"/>
    <w:rsid w:val="00FE0A3E"/>
    <w:rsid w:val="01D97285"/>
    <w:rsid w:val="01F833FE"/>
    <w:rsid w:val="04A66223"/>
    <w:rsid w:val="0526071C"/>
    <w:rsid w:val="05982F04"/>
    <w:rsid w:val="05E50E54"/>
    <w:rsid w:val="06191A11"/>
    <w:rsid w:val="06E70B4D"/>
    <w:rsid w:val="08A96FF2"/>
    <w:rsid w:val="0946100B"/>
    <w:rsid w:val="096F203C"/>
    <w:rsid w:val="0B186487"/>
    <w:rsid w:val="0B264208"/>
    <w:rsid w:val="0C43355A"/>
    <w:rsid w:val="0DC233A7"/>
    <w:rsid w:val="0E5835C1"/>
    <w:rsid w:val="0E761E0C"/>
    <w:rsid w:val="0F8651A5"/>
    <w:rsid w:val="0FB17394"/>
    <w:rsid w:val="0FB75B73"/>
    <w:rsid w:val="1027222E"/>
    <w:rsid w:val="105A3B9E"/>
    <w:rsid w:val="10702413"/>
    <w:rsid w:val="120449B3"/>
    <w:rsid w:val="132C7E80"/>
    <w:rsid w:val="136E31D6"/>
    <w:rsid w:val="15047820"/>
    <w:rsid w:val="159453C1"/>
    <w:rsid w:val="15DA0797"/>
    <w:rsid w:val="16A57076"/>
    <w:rsid w:val="16FC678F"/>
    <w:rsid w:val="19CD7803"/>
    <w:rsid w:val="1A73152C"/>
    <w:rsid w:val="1A8959E9"/>
    <w:rsid w:val="1B440454"/>
    <w:rsid w:val="1C071125"/>
    <w:rsid w:val="1C412E81"/>
    <w:rsid w:val="1CBA2783"/>
    <w:rsid w:val="1DC04016"/>
    <w:rsid w:val="1E1B1EB7"/>
    <w:rsid w:val="1F2304A0"/>
    <w:rsid w:val="1FAF6FFE"/>
    <w:rsid w:val="22787471"/>
    <w:rsid w:val="23AC3BC1"/>
    <w:rsid w:val="2490671B"/>
    <w:rsid w:val="24D9544A"/>
    <w:rsid w:val="25A9126A"/>
    <w:rsid w:val="2751094D"/>
    <w:rsid w:val="27BE7ABC"/>
    <w:rsid w:val="29033856"/>
    <w:rsid w:val="2A314963"/>
    <w:rsid w:val="2B0911BE"/>
    <w:rsid w:val="2CAB37D7"/>
    <w:rsid w:val="2CE14BAA"/>
    <w:rsid w:val="2FCE58AD"/>
    <w:rsid w:val="303D37B9"/>
    <w:rsid w:val="30616482"/>
    <w:rsid w:val="30963B3A"/>
    <w:rsid w:val="31791713"/>
    <w:rsid w:val="32170B33"/>
    <w:rsid w:val="32FD02B7"/>
    <w:rsid w:val="33836597"/>
    <w:rsid w:val="34275279"/>
    <w:rsid w:val="34F36F78"/>
    <w:rsid w:val="37F91B59"/>
    <w:rsid w:val="394E6186"/>
    <w:rsid w:val="3A4144E4"/>
    <w:rsid w:val="3A957EBC"/>
    <w:rsid w:val="3B0802DD"/>
    <w:rsid w:val="3C256B74"/>
    <w:rsid w:val="3F780290"/>
    <w:rsid w:val="3FBD6E68"/>
    <w:rsid w:val="40C12BA3"/>
    <w:rsid w:val="42796B56"/>
    <w:rsid w:val="431A223A"/>
    <w:rsid w:val="433C1422"/>
    <w:rsid w:val="43CE52FD"/>
    <w:rsid w:val="43EF1332"/>
    <w:rsid w:val="448C3F0A"/>
    <w:rsid w:val="449137A8"/>
    <w:rsid w:val="4678221C"/>
    <w:rsid w:val="47530BB4"/>
    <w:rsid w:val="48A222EF"/>
    <w:rsid w:val="493F2E86"/>
    <w:rsid w:val="4A0F3ACB"/>
    <w:rsid w:val="4A6957BA"/>
    <w:rsid w:val="4AFF64FF"/>
    <w:rsid w:val="4E5B1EC9"/>
    <w:rsid w:val="4E6EAD99"/>
    <w:rsid w:val="4EEC562F"/>
    <w:rsid w:val="50A27327"/>
    <w:rsid w:val="50A57FB7"/>
    <w:rsid w:val="50D558F8"/>
    <w:rsid w:val="50E92F21"/>
    <w:rsid w:val="51335AE3"/>
    <w:rsid w:val="515A61DF"/>
    <w:rsid w:val="51FF7420"/>
    <w:rsid w:val="520634E8"/>
    <w:rsid w:val="5285299D"/>
    <w:rsid w:val="52B3244F"/>
    <w:rsid w:val="52C51634"/>
    <w:rsid w:val="52E81DE3"/>
    <w:rsid w:val="53587749"/>
    <w:rsid w:val="542C199A"/>
    <w:rsid w:val="56290B9C"/>
    <w:rsid w:val="57A01283"/>
    <w:rsid w:val="57B16D73"/>
    <w:rsid w:val="58961F27"/>
    <w:rsid w:val="58BB1D3B"/>
    <w:rsid w:val="596C03A3"/>
    <w:rsid w:val="5CBF1355"/>
    <w:rsid w:val="5D3B2227"/>
    <w:rsid w:val="5DF76CD9"/>
    <w:rsid w:val="5EB43CEC"/>
    <w:rsid w:val="5ED20702"/>
    <w:rsid w:val="5EEE6ED8"/>
    <w:rsid w:val="5F74572A"/>
    <w:rsid w:val="60780E8B"/>
    <w:rsid w:val="60F3792E"/>
    <w:rsid w:val="61A41973"/>
    <w:rsid w:val="62DC523F"/>
    <w:rsid w:val="632E4706"/>
    <w:rsid w:val="646F5B44"/>
    <w:rsid w:val="65FB3E54"/>
    <w:rsid w:val="66084708"/>
    <w:rsid w:val="661A1E2F"/>
    <w:rsid w:val="66EF7F7D"/>
    <w:rsid w:val="677C5778"/>
    <w:rsid w:val="68D260CC"/>
    <w:rsid w:val="693A3914"/>
    <w:rsid w:val="69BD137A"/>
    <w:rsid w:val="6AF12036"/>
    <w:rsid w:val="6C794779"/>
    <w:rsid w:val="6D095265"/>
    <w:rsid w:val="6D0F4700"/>
    <w:rsid w:val="6D9951E9"/>
    <w:rsid w:val="6E847A23"/>
    <w:rsid w:val="6ECC72ED"/>
    <w:rsid w:val="6FFD6CD0"/>
    <w:rsid w:val="7031231F"/>
    <w:rsid w:val="70820F79"/>
    <w:rsid w:val="72021F06"/>
    <w:rsid w:val="722065EB"/>
    <w:rsid w:val="726A7AC1"/>
    <w:rsid w:val="743D5172"/>
    <w:rsid w:val="75205AE6"/>
    <w:rsid w:val="756351F6"/>
    <w:rsid w:val="75D30850"/>
    <w:rsid w:val="77027DB5"/>
    <w:rsid w:val="770E7E44"/>
    <w:rsid w:val="7930545B"/>
    <w:rsid w:val="79FD5EA2"/>
    <w:rsid w:val="7A5A602E"/>
    <w:rsid w:val="7B0A6E5A"/>
    <w:rsid w:val="7BE40EC3"/>
    <w:rsid w:val="7BF36B6B"/>
    <w:rsid w:val="7D2768F9"/>
    <w:rsid w:val="7D600A56"/>
    <w:rsid w:val="7DB74369"/>
    <w:rsid w:val="7DEE5627"/>
    <w:rsid w:val="7E7F3DB1"/>
    <w:rsid w:val="7EEB9E64"/>
    <w:rsid w:val="7EFBE8CA"/>
    <w:rsid w:val="7F35520B"/>
    <w:rsid w:val="7FB7D4F7"/>
    <w:rsid w:val="7FC10228"/>
    <w:rsid w:val="7FD01F10"/>
    <w:rsid w:val="7FFF6B8E"/>
    <w:rsid w:val="DECF6196"/>
    <w:rsid w:val="DFC9C9D7"/>
    <w:rsid w:val="E5BE1C76"/>
    <w:rsid w:val="EFD57BBA"/>
    <w:rsid w:val="F7FBD067"/>
    <w:rsid w:val="FCBF5CCF"/>
    <w:rsid w:val="FDFB0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spacing w:before="240" w:after="120"/>
      <w:jc w:val="left"/>
      <w:outlineLvl w:val="0"/>
    </w:pPr>
    <w:rPr>
      <w:rFonts w:ascii="Times New Roman" w:hAnsi="Times New Roman" w:cs="Mangal"/>
      <w:color w:val="00000A"/>
      <w:sz w:val="24"/>
      <w:lang w:val="zh-CN" w:bidi="hi-I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4">
    <w:name w:val="Balloon Text"/>
    <w:basedOn w:val="1"/>
    <w:link w:val="14"/>
    <w:semiHidden/>
    <w:unhideWhenUsed/>
    <w:qFormat/>
    <w:uiPriority w:val="0"/>
    <w:rPr>
      <w:sz w:val="18"/>
      <w:szCs w:val="18"/>
    </w:rPr>
  </w:style>
  <w:style w:type="paragraph" w:styleId="5">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page number"/>
    <w:basedOn w:val="9"/>
    <w:qFormat/>
    <w:uiPriority w:val="0"/>
  </w:style>
  <w:style w:type="paragraph" w:customStyle="1" w:styleId="11">
    <w:name w:val="2文本"/>
    <w:qFormat/>
    <w:uiPriority w:val="0"/>
    <w:pPr>
      <w:widowControl w:val="0"/>
      <w:suppressAutoHyphens/>
      <w:ind w:firstLine="200"/>
      <w:jc w:val="both"/>
    </w:pPr>
    <w:rPr>
      <w:rFonts w:ascii="Times New Roman" w:hAnsi="Times New Roman" w:eastAsia="宋体" w:cs="Times New Roman"/>
      <w:color w:val="000000"/>
      <w:kern w:val="1"/>
      <w:lang w:val="en-US" w:eastAsia="zh-CN" w:bidi="ar-SA"/>
    </w:rPr>
  </w:style>
  <w:style w:type="paragraph" w:customStyle="1" w:styleId="12">
    <w:name w:val="p17"/>
    <w:basedOn w:val="1"/>
    <w:qFormat/>
    <w:uiPriority w:val="0"/>
    <w:pPr>
      <w:widowControl/>
      <w:spacing w:before="100" w:after="100"/>
      <w:jc w:val="left"/>
    </w:pPr>
    <w:rPr>
      <w:rFonts w:ascii="宋体" w:hAnsi="宋体" w:cs="宋体"/>
      <w:kern w:val="0"/>
      <w:sz w:val="24"/>
    </w:rPr>
  </w:style>
  <w:style w:type="character" w:customStyle="1" w:styleId="13">
    <w:name w:val="页眉 字符"/>
    <w:basedOn w:val="9"/>
    <w:link w:val="6"/>
    <w:qFormat/>
    <w:uiPriority w:val="0"/>
    <w:rPr>
      <w:rFonts w:ascii="Calibri" w:hAnsi="Calibri"/>
      <w:kern w:val="2"/>
      <w:sz w:val="18"/>
      <w:szCs w:val="18"/>
    </w:rPr>
  </w:style>
  <w:style w:type="character" w:customStyle="1" w:styleId="14">
    <w:name w:val="批注框文本 字符"/>
    <w:basedOn w:val="9"/>
    <w:link w:val="4"/>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413</Words>
  <Characters>2357</Characters>
  <Lines>19</Lines>
  <Paragraphs>5</Paragraphs>
  <TotalTime>248</TotalTime>
  <ScaleCrop>false</ScaleCrop>
  <LinksUpToDate>false</LinksUpToDate>
  <CharactersWithSpaces>2765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2014-11-02T04:08:00Z</dcterms:created>
  <dc:creator>wenxiumei</dc:creator>
  <cp:lastModifiedBy>greatwall</cp:lastModifiedBy>
  <cp:lastPrinted>2022-05-20T18:40:00Z</cp:lastPrinted>
  <dcterms:modified xsi:type="dcterms:W3CDTF">2022-05-25T14:44:01Z</dcterms:modified>
  <dc:title>                      </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5F3BEE912D5F4EC79068F8940B01583F</vt:lpwstr>
  </property>
</Properties>
</file>