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Times New Roman" w:hAnsi="Times New Roman" w:eastAsia="方正小标宋简体" w:cs="方正小标宋简体"/>
          <w:color w:val="000000"/>
          <w:sz w:val="44"/>
          <w:szCs w:val="44"/>
        </w:rPr>
      </w:pPr>
      <w:r>
        <w:rPr>
          <w:rFonts w:hint="eastAsia" w:ascii="Times New Roman" w:hAnsi="Times New Roman" w:eastAsia="方正小标宋简体" w:cs="方正小标宋简体"/>
          <w:bCs/>
          <w:color w:val="000000"/>
          <w:sz w:val="44"/>
          <w:szCs w:val="44"/>
        </w:rPr>
        <w:t>天津市北辰区市场监督管理局</w:t>
      </w:r>
    </w:p>
    <w:p>
      <w:pPr>
        <w:spacing w:line="640" w:lineRule="exact"/>
        <w:jc w:val="center"/>
        <w:rPr>
          <w:rFonts w:ascii="Times New Roman" w:hAnsi="Times New Roman" w:eastAsia="方正小标宋简体" w:cs="方正小标宋简体"/>
          <w:bCs/>
          <w:color w:val="000000"/>
          <w:sz w:val="44"/>
          <w:szCs w:val="44"/>
        </w:rPr>
      </w:pPr>
      <w:r>
        <w:rPr>
          <w:rFonts w:hint="eastAsia" w:ascii="Times New Roman" w:hAnsi="Times New Roman" w:eastAsia="方正小标宋简体" w:cs="方正小标宋简体"/>
          <w:bCs/>
          <w:color w:val="000000"/>
          <w:sz w:val="44"/>
          <w:szCs w:val="44"/>
        </w:rPr>
        <w:t>行政处罚决定书</w:t>
      </w:r>
    </w:p>
    <w:p>
      <w:pPr>
        <w:keepNext w:val="0"/>
        <w:keepLines w:val="0"/>
        <w:pageBreakBefore w:val="0"/>
        <w:widowControl w:val="0"/>
        <w:kinsoku/>
        <w:wordWrap/>
        <w:overflowPunct/>
        <w:topLinePunct w:val="0"/>
        <w:autoSpaceDE/>
        <w:autoSpaceDN/>
        <w:bidi w:val="0"/>
        <w:adjustRightInd/>
        <w:snapToGrid w:val="0"/>
        <w:spacing w:before="312" w:beforeLines="100" w:after="312" w:afterLines="100" w:line="400" w:lineRule="exact"/>
        <w:jc w:val="center"/>
        <w:textAlignment w:val="auto"/>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color w:val="000000"/>
          <w:sz w:val="32"/>
          <w:szCs w:val="32"/>
          <w:u w:val="none"/>
        </w:rPr>
        <mc:AlternateContent>
          <mc:Choice Requires="wps">
            <w:drawing>
              <wp:anchor distT="0" distB="0" distL="114300" distR="114300" simplePos="0" relativeHeight="251659264" behindDoc="0" locked="0" layoutInCell="1" allowOverlap="1">
                <wp:simplePos x="0" y="0"/>
                <wp:positionH relativeFrom="column">
                  <wp:posOffset>25400</wp:posOffset>
                </wp:positionH>
                <wp:positionV relativeFrom="paragraph">
                  <wp:posOffset>20802600</wp:posOffset>
                </wp:positionV>
                <wp:extent cx="5761990" cy="1270"/>
                <wp:effectExtent l="9525" t="9525" r="19685" b="17780"/>
                <wp:wrapNone/>
                <wp:docPr id="10" name="直接箭头连接符 10"/>
                <wp:cNvGraphicFramePr/>
                <a:graphic xmlns:a="http://schemas.openxmlformats.org/drawingml/2006/main">
                  <a:graphicData uri="http://schemas.microsoft.com/office/word/2010/wordprocessingShape">
                    <wps:wsp>
                      <wps:cNvCnPr/>
                      <wps:spPr>
                        <a:xfrm>
                          <a:off x="0" y="0"/>
                          <a:ext cx="5761990" cy="1270"/>
                        </a:xfrm>
                        <a:prstGeom prst="straightConnector1">
                          <a:avLst/>
                        </a:prstGeom>
                        <a:ln w="19050" cap="sq"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2pt;margin-top:1638pt;height:0.1pt;width:453.7pt;z-index:251659264;mso-width-relative:page;mso-height-relative:page;" filled="f" stroked="t" coordsize="21600,21600" o:gfxdata="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CLXiia2gAAAAsBAAAPAAAAAAAAAAEAIAAAADgAAABkcnMvZG93bnJl&#10;di54bWxQSwECFAAUAAAACACHTuJA48fwxOUBAACiAwAADgAAAAAAAAABACAAAAA/AQAAZHJzL2Uy&#10;b0RvYy54bWxQSwUGAAAAAAYABgBZAQAAlgUAAAAA&#10;">
                <v:fill on="f" focussize="0,0"/>
                <v:stroke weight="1.5pt" color="#000000" joinstyle="round" endcap="square"/>
                <v:imagedata o:title=""/>
                <o:lock v:ext="edit" aspectratio="f"/>
              </v:shape>
            </w:pict>
          </mc:Fallback>
        </mc:AlternateContent>
      </w:r>
      <w:r>
        <w:rPr>
          <w:rFonts w:hint="eastAsia" w:ascii="仿宋_GB2312" w:hAnsi="仿宋_GB2312" w:eastAsia="仿宋_GB2312" w:cs="仿宋_GB2312"/>
          <w:color w:val="000000"/>
          <w:sz w:val="32"/>
          <w:szCs w:val="32"/>
          <w:u w:val="none"/>
        </w:rPr>
        <w:t>津辰市监</w:t>
      </w:r>
      <w:r>
        <w:rPr>
          <w:rFonts w:hint="eastAsia" w:ascii="仿宋_GB2312" w:hAnsi="仿宋_GB2312" w:eastAsia="仿宋_GB2312" w:cs="仿宋_GB2312"/>
          <w:color w:val="000000"/>
          <w:sz w:val="32"/>
          <w:szCs w:val="32"/>
          <w:u w:val="none"/>
          <w:lang w:eastAsia="zh-CN"/>
        </w:rPr>
        <w:t>综处</w:t>
      </w:r>
      <w:r>
        <w:rPr>
          <w:rFonts w:hint="eastAsia" w:ascii="仿宋_GB2312" w:hAnsi="仿宋_GB2312" w:eastAsia="仿宋_GB2312" w:cs="仿宋_GB2312"/>
          <w:color w:val="000000"/>
          <w:sz w:val="32"/>
          <w:szCs w:val="32"/>
          <w:u w:val="none"/>
        </w:rPr>
        <w:t>罚〔202</w:t>
      </w:r>
      <w:r>
        <w:rPr>
          <w:rFonts w:hint="eastAsia" w:ascii="仿宋_GB2312" w:hAnsi="仿宋_GB2312" w:eastAsia="仿宋_GB2312" w:cs="仿宋_GB2312"/>
          <w:color w:val="000000"/>
          <w:sz w:val="32"/>
          <w:szCs w:val="32"/>
          <w:u w:val="none"/>
          <w:lang w:val="en-US" w:eastAsia="zh-CN"/>
        </w:rPr>
        <w:t>1</w:t>
      </w:r>
      <w:r>
        <w:rPr>
          <w:rFonts w:hint="eastAsia" w:ascii="仿宋_GB2312" w:hAnsi="仿宋_GB2312" w:eastAsia="仿宋_GB2312" w:cs="仿宋_GB2312"/>
          <w:color w:val="000000"/>
          <w:sz w:val="32"/>
          <w:szCs w:val="32"/>
          <w:u w:val="none"/>
        </w:rPr>
        <w:t>〕</w:t>
      </w:r>
      <w:r>
        <w:rPr>
          <w:rFonts w:hint="eastAsia" w:ascii="仿宋_GB2312" w:hAnsi="仿宋_GB2312" w:eastAsia="仿宋_GB2312" w:cs="仿宋_GB2312"/>
          <w:color w:val="000000"/>
          <w:sz w:val="32"/>
          <w:szCs w:val="32"/>
          <w:u w:val="none"/>
          <w:lang w:val="en-US" w:eastAsia="zh-CN"/>
        </w:rPr>
        <w:t>205</w:t>
      </w:r>
      <w:r>
        <w:rPr>
          <w:rFonts w:hint="eastAsia" w:ascii="仿宋_GB2312" w:hAnsi="仿宋_GB2312" w:eastAsia="仿宋_GB2312" w:cs="仿宋_GB2312"/>
          <w:color w:val="000000"/>
          <w:sz w:val="32"/>
          <w:szCs w:val="32"/>
          <w:u w:val="none"/>
        </w:rPr>
        <w:t>号</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kern w:val="1"/>
          <w:sz w:val="32"/>
          <w:szCs w:val="32"/>
          <w:u w:val="none"/>
        </w:rPr>
        <w:t>当事人：</w:t>
      </w:r>
      <w:r>
        <w:rPr>
          <w:rFonts w:hint="eastAsia" w:ascii="仿宋_GB2312" w:hAnsi="仿宋_GB2312" w:eastAsia="仿宋_GB2312" w:cs="仿宋_GB2312"/>
          <w:bCs/>
          <w:sz w:val="32"/>
          <w:szCs w:val="32"/>
          <w:u w:val="none"/>
          <w:lang w:eastAsia="zh-CN"/>
        </w:rPr>
        <w:t>天津迅速新能源科技有限公司</w:t>
      </w:r>
      <w:r>
        <w:rPr>
          <w:rFonts w:hint="eastAsia" w:ascii="仿宋_GB2312" w:hAnsi="仿宋_GB2312" w:eastAsia="仿宋_GB2312" w:cs="仿宋_GB2312"/>
          <w:kern w:val="1"/>
          <w:sz w:val="32"/>
          <w:szCs w:val="32"/>
          <w:u w:val="none"/>
        </w:rPr>
        <w:t xml:space="preserve">                                          </w:t>
      </w:r>
    </w:p>
    <w:p>
      <w:pPr>
        <w:keepNext w:val="0"/>
        <w:keepLines w:val="0"/>
        <w:pageBreakBefore w:val="0"/>
        <w:widowControl w:val="0"/>
        <w:kinsoku/>
        <w:wordWrap/>
        <w:overflowPunct/>
        <w:topLinePunct w:val="0"/>
        <w:autoSpaceDE/>
        <w:autoSpaceDN/>
        <w:bidi w:val="0"/>
        <w:adjustRightInd/>
        <w:snapToGrid/>
        <w:spacing w:line="400" w:lineRule="exact"/>
        <w:ind w:left="140" w:hanging="140"/>
        <w:textAlignment w:val="auto"/>
        <w:rPr>
          <w:rFonts w:hint="eastAsia" w:ascii="仿宋_GB2312" w:hAnsi="仿宋_GB2312" w:eastAsia="仿宋_GB2312" w:cs="仿宋_GB2312"/>
          <w:kern w:val="1"/>
          <w:sz w:val="32"/>
          <w:szCs w:val="32"/>
          <w:u w:val="none"/>
        </w:rPr>
      </w:pPr>
      <w:r>
        <w:rPr>
          <w:rFonts w:hint="eastAsia" w:ascii="仿宋_GB2312" w:hAnsi="仿宋_GB2312" w:eastAsia="仿宋_GB2312" w:cs="仿宋_GB2312"/>
          <w:kern w:val="1"/>
          <w:sz w:val="32"/>
          <w:szCs w:val="32"/>
          <w:u w:val="none"/>
        </w:rPr>
        <w:t xml:space="preserve">主体资格证照名称：营业执照                   </w:t>
      </w:r>
      <w:bookmarkStart w:id="0" w:name="_GoBack"/>
      <w:bookmarkEnd w:id="0"/>
      <w:r>
        <w:rPr>
          <w:rFonts w:hint="eastAsia" w:ascii="仿宋_GB2312" w:hAnsi="仿宋_GB2312" w:eastAsia="仿宋_GB2312" w:cs="仿宋_GB2312"/>
          <w:kern w:val="1"/>
          <w:sz w:val="32"/>
          <w:szCs w:val="32"/>
          <w:u w:val="none"/>
        </w:rPr>
        <w:t xml:space="preserve">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仿宋_GB2312" w:hAnsi="仿宋_GB2312" w:eastAsia="仿宋_GB2312" w:cs="仿宋_GB2312"/>
          <w:kern w:val="1"/>
          <w:sz w:val="32"/>
          <w:szCs w:val="32"/>
          <w:u w:val="none"/>
          <w:lang w:val="en-US" w:eastAsia="zh-CN"/>
        </w:rPr>
      </w:pPr>
      <w:r>
        <w:rPr>
          <w:rFonts w:hint="eastAsia" w:ascii="仿宋_GB2312" w:hAnsi="仿宋_GB2312" w:eastAsia="仿宋_GB2312" w:cs="仿宋_GB2312"/>
          <w:kern w:val="1"/>
          <w:sz w:val="32"/>
          <w:szCs w:val="32"/>
          <w:u w:val="none"/>
        </w:rPr>
        <w:t>统一社会信用代码：9</w:t>
      </w:r>
      <w:r>
        <w:rPr>
          <w:rFonts w:hint="eastAsia" w:ascii="仿宋_GB2312" w:hAnsi="仿宋_GB2312" w:eastAsia="仿宋_GB2312" w:cs="仿宋_GB2312"/>
          <w:kern w:val="1"/>
          <w:sz w:val="32"/>
          <w:szCs w:val="32"/>
          <w:u w:val="none"/>
          <w:lang w:val="en-US" w:eastAsia="zh-CN"/>
        </w:rPr>
        <w:t>1</w:t>
      </w:r>
      <w:r>
        <w:rPr>
          <w:rFonts w:hint="eastAsia" w:ascii="仿宋_GB2312" w:hAnsi="仿宋_GB2312" w:eastAsia="仿宋_GB2312" w:cs="仿宋_GB2312"/>
          <w:kern w:val="1"/>
          <w:sz w:val="32"/>
          <w:szCs w:val="32"/>
          <w:u w:val="none"/>
        </w:rPr>
        <w:t>120113MA06</w:t>
      </w:r>
      <w:r>
        <w:rPr>
          <w:rFonts w:hint="eastAsia" w:ascii="仿宋_GB2312" w:hAnsi="仿宋_GB2312" w:eastAsia="仿宋_GB2312" w:cs="仿宋_GB2312"/>
          <w:kern w:val="1"/>
          <w:sz w:val="32"/>
          <w:szCs w:val="32"/>
          <w:u w:val="none"/>
          <w:lang w:val="en-US" w:eastAsia="zh-CN"/>
        </w:rPr>
        <w:t>DPW807</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kern w:val="1"/>
          <w:sz w:val="32"/>
          <w:szCs w:val="32"/>
          <w:u w:val="none"/>
          <w:lang w:val="en-US" w:eastAsia="zh-CN"/>
        </w:rPr>
      </w:pPr>
      <w:r>
        <w:rPr>
          <w:rFonts w:hint="eastAsia" w:ascii="仿宋_GB2312" w:hAnsi="仿宋_GB2312" w:eastAsia="仿宋_GB2312" w:cs="仿宋_GB2312"/>
          <w:kern w:val="1"/>
          <w:sz w:val="32"/>
          <w:szCs w:val="32"/>
          <w:u w:val="none"/>
        </w:rPr>
        <w:t>住所(经营场所):天津市北辰区</w:t>
      </w:r>
      <w:r>
        <w:rPr>
          <w:rFonts w:hint="eastAsia" w:ascii="仿宋_GB2312" w:hAnsi="仿宋_GB2312" w:eastAsia="仿宋_GB2312" w:cs="仿宋_GB2312"/>
          <w:kern w:val="1"/>
          <w:sz w:val="32"/>
          <w:szCs w:val="32"/>
          <w:u w:val="none"/>
          <w:lang w:eastAsia="zh-CN"/>
        </w:rPr>
        <w:t>双口镇双口三村</w:t>
      </w:r>
      <w:r>
        <w:rPr>
          <w:rFonts w:hint="eastAsia" w:ascii="仿宋_GB2312" w:hAnsi="仿宋_GB2312" w:eastAsia="仿宋_GB2312" w:cs="仿宋_GB2312"/>
          <w:kern w:val="1"/>
          <w:sz w:val="32"/>
          <w:szCs w:val="32"/>
          <w:u w:val="none"/>
          <w:lang w:val="en-US" w:eastAsia="zh-CN"/>
        </w:rPr>
        <w:t>2号</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kern w:val="1"/>
          <w:sz w:val="32"/>
          <w:szCs w:val="32"/>
          <w:u w:val="none"/>
        </w:rPr>
      </w:pPr>
      <w:r>
        <w:rPr>
          <w:rFonts w:hint="eastAsia" w:ascii="仿宋_GB2312" w:hAnsi="仿宋_GB2312" w:eastAsia="仿宋_GB2312" w:cs="仿宋_GB2312"/>
          <w:kern w:val="1"/>
          <w:sz w:val="32"/>
          <w:szCs w:val="32"/>
          <w:u w:val="none"/>
        </w:rPr>
        <w:t>法定代表人（负 责 人）:</w:t>
      </w:r>
      <w:r>
        <w:rPr>
          <w:rFonts w:hint="eastAsia" w:ascii="仿宋_GB2312" w:hAnsi="仿宋_GB2312" w:eastAsia="仿宋_GB2312" w:cs="仿宋_GB2312"/>
          <w:kern w:val="1"/>
          <w:sz w:val="32"/>
          <w:szCs w:val="32"/>
          <w:u w:val="none"/>
          <w:lang w:eastAsia="zh-CN"/>
        </w:rPr>
        <w:t>刘怀禹</w:t>
      </w:r>
      <w:r>
        <w:rPr>
          <w:rFonts w:hint="eastAsia" w:ascii="仿宋_GB2312" w:hAnsi="仿宋_GB2312" w:eastAsia="仿宋_GB2312" w:cs="仿宋_GB2312"/>
          <w:kern w:val="1"/>
          <w:sz w:val="32"/>
          <w:szCs w:val="32"/>
          <w:u w:val="none"/>
        </w:rPr>
        <w:t xml:space="preserve">        </w:t>
      </w:r>
      <w:r>
        <w:rPr>
          <w:rFonts w:hint="eastAsia" w:ascii="仿宋_GB2312" w:hAnsi="仿宋_GB2312" w:eastAsia="仿宋_GB2312" w:cs="仿宋_GB2312"/>
          <w:bCs/>
          <w:sz w:val="32"/>
          <w:szCs w:val="32"/>
          <w:u w:val="none"/>
        </w:rPr>
        <w:t xml:space="preserve">              </w:t>
      </w:r>
      <w:r>
        <w:rPr>
          <w:rFonts w:hint="eastAsia" w:ascii="仿宋_GB2312" w:hAnsi="仿宋_GB2312" w:eastAsia="仿宋_GB2312" w:cs="仿宋_GB2312"/>
          <w:kern w:val="1"/>
          <w:sz w:val="32"/>
          <w:szCs w:val="32"/>
          <w:u w:val="none"/>
        </w:rPr>
        <w:t xml:space="preserve">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kern w:val="1"/>
          <w:sz w:val="32"/>
          <w:szCs w:val="32"/>
          <w:u w:val="none"/>
          <w:lang w:eastAsia="zh-CN"/>
        </w:rPr>
      </w:pPr>
      <w:r>
        <w:rPr>
          <w:rFonts w:hint="eastAsia" w:ascii="仿宋_GB2312" w:hAnsi="仿宋_GB2312" w:eastAsia="仿宋_GB2312" w:cs="仿宋_GB2312"/>
          <w:kern w:val="1"/>
          <w:sz w:val="32"/>
          <w:szCs w:val="32"/>
          <w:u w:val="none"/>
          <w:lang w:val="en-US" w:eastAsia="zh-CN"/>
        </w:rPr>
        <w:t xml:space="preserve">    </w:t>
      </w:r>
      <w:r>
        <w:rPr>
          <w:rFonts w:hint="eastAsia" w:ascii="仿宋_GB2312" w:hAnsi="仿宋_GB2312" w:eastAsia="仿宋_GB2312" w:cs="仿宋_GB2312"/>
          <w:kern w:val="1"/>
          <w:sz w:val="32"/>
          <w:szCs w:val="32"/>
          <w:u w:val="none"/>
        </w:rPr>
        <w:t>案件来源、调查经过及采取行政强制措施的情况：</w:t>
      </w:r>
      <w:r>
        <w:rPr>
          <w:rFonts w:hint="eastAsia" w:ascii="仿宋_GB2312" w:hAnsi="仿宋_GB2312" w:eastAsia="仿宋_GB2312" w:cs="仿宋_GB2312"/>
          <w:kern w:val="1"/>
          <w:sz w:val="32"/>
          <w:szCs w:val="32"/>
          <w:u w:val="none"/>
          <w:lang w:eastAsia="zh-CN"/>
        </w:rPr>
        <w:t>202</w:t>
      </w:r>
      <w:r>
        <w:rPr>
          <w:rFonts w:hint="eastAsia" w:ascii="仿宋_GB2312" w:hAnsi="仿宋_GB2312" w:eastAsia="仿宋_GB2312" w:cs="仿宋_GB2312"/>
          <w:kern w:val="1"/>
          <w:sz w:val="32"/>
          <w:szCs w:val="32"/>
          <w:u w:val="none"/>
          <w:lang w:val="en-US" w:eastAsia="zh-CN"/>
        </w:rPr>
        <w:t>1</w:t>
      </w:r>
      <w:r>
        <w:rPr>
          <w:rFonts w:hint="eastAsia" w:ascii="仿宋_GB2312" w:hAnsi="仿宋_GB2312" w:eastAsia="仿宋_GB2312" w:cs="仿宋_GB2312"/>
          <w:kern w:val="1"/>
          <w:sz w:val="32"/>
          <w:szCs w:val="32"/>
          <w:u w:val="none"/>
          <w:lang w:eastAsia="zh-CN"/>
        </w:rPr>
        <w:t>年</w:t>
      </w:r>
      <w:r>
        <w:rPr>
          <w:rFonts w:hint="eastAsia" w:ascii="仿宋_GB2312" w:hAnsi="仿宋_GB2312" w:eastAsia="仿宋_GB2312" w:cs="仿宋_GB2312"/>
          <w:kern w:val="1"/>
          <w:sz w:val="32"/>
          <w:szCs w:val="32"/>
          <w:u w:val="none"/>
          <w:lang w:val="en-US" w:eastAsia="zh-CN"/>
        </w:rPr>
        <w:t>9</w:t>
      </w:r>
      <w:r>
        <w:rPr>
          <w:rFonts w:hint="eastAsia" w:ascii="仿宋_GB2312" w:hAnsi="仿宋_GB2312" w:eastAsia="仿宋_GB2312" w:cs="仿宋_GB2312"/>
          <w:kern w:val="1"/>
          <w:sz w:val="32"/>
          <w:szCs w:val="32"/>
          <w:u w:val="none"/>
          <w:lang w:eastAsia="zh-CN"/>
        </w:rPr>
        <w:t>月</w:t>
      </w:r>
      <w:r>
        <w:rPr>
          <w:rFonts w:hint="eastAsia" w:ascii="仿宋_GB2312" w:hAnsi="仿宋_GB2312" w:eastAsia="仿宋_GB2312" w:cs="仿宋_GB2312"/>
          <w:kern w:val="1"/>
          <w:sz w:val="32"/>
          <w:szCs w:val="32"/>
          <w:u w:val="none"/>
          <w:lang w:val="en-US" w:eastAsia="zh-CN"/>
        </w:rPr>
        <w:t>28</w:t>
      </w:r>
      <w:r>
        <w:rPr>
          <w:rFonts w:hint="eastAsia" w:ascii="仿宋_GB2312" w:hAnsi="仿宋_GB2312" w:eastAsia="仿宋_GB2312" w:cs="仿宋_GB2312"/>
          <w:kern w:val="1"/>
          <w:sz w:val="32"/>
          <w:szCs w:val="32"/>
          <w:u w:val="none"/>
          <w:lang w:eastAsia="zh-CN"/>
        </w:rPr>
        <w:t>日，我局收到国家自行车电动自行车质量检验检测中心送来的检测报告（No：</w:t>
      </w:r>
      <w:r>
        <w:rPr>
          <w:rFonts w:hint="eastAsia" w:ascii="仿宋_GB2312" w:hAnsi="仿宋_GB2312" w:eastAsia="仿宋_GB2312" w:cs="仿宋_GB2312"/>
          <w:kern w:val="1"/>
          <w:sz w:val="32"/>
          <w:szCs w:val="32"/>
          <w:u w:val="none"/>
          <w:lang w:val="en-US" w:eastAsia="zh-CN"/>
        </w:rPr>
        <w:t>2141265</w:t>
      </w:r>
      <w:r>
        <w:rPr>
          <w:rFonts w:hint="eastAsia" w:ascii="仿宋_GB2312" w:hAnsi="仿宋_GB2312" w:eastAsia="仿宋_GB2312" w:cs="仿宋_GB2312"/>
          <w:kern w:val="1"/>
          <w:sz w:val="32"/>
          <w:szCs w:val="32"/>
          <w:u w:val="none"/>
          <w:lang w:eastAsia="zh-CN"/>
        </w:rPr>
        <w:t>）、（No：</w:t>
      </w:r>
      <w:r>
        <w:rPr>
          <w:rFonts w:hint="eastAsia" w:ascii="仿宋_GB2312" w:hAnsi="仿宋_GB2312" w:eastAsia="仿宋_GB2312" w:cs="仿宋_GB2312"/>
          <w:kern w:val="1"/>
          <w:sz w:val="32"/>
          <w:szCs w:val="32"/>
          <w:u w:val="none"/>
          <w:lang w:val="en-US" w:eastAsia="zh-CN"/>
        </w:rPr>
        <w:t>2141266</w:t>
      </w:r>
      <w:r>
        <w:rPr>
          <w:rFonts w:hint="eastAsia" w:ascii="仿宋_GB2312" w:hAnsi="仿宋_GB2312" w:eastAsia="仿宋_GB2312" w:cs="仿宋_GB2312"/>
          <w:kern w:val="1"/>
          <w:sz w:val="32"/>
          <w:szCs w:val="32"/>
          <w:u w:val="none"/>
          <w:lang w:eastAsia="zh-CN"/>
        </w:rPr>
        <w:t>），检验报告显示天津迅新能源科技有限公司生产的两款</w:t>
      </w:r>
      <w:r>
        <w:rPr>
          <w:rFonts w:hint="eastAsia" w:ascii="仿宋_GB2312" w:hAnsi="仿宋_GB2312" w:eastAsia="仿宋_GB2312" w:cs="仿宋_GB2312"/>
          <w:kern w:val="1"/>
          <w:sz w:val="32"/>
          <w:szCs w:val="32"/>
          <w:u w:val="none"/>
          <w:lang w:val="en-US" w:eastAsia="zh-CN"/>
        </w:rPr>
        <w:t>电动自行车经抽样检验</w:t>
      </w:r>
      <w:r>
        <w:rPr>
          <w:rFonts w:hint="eastAsia" w:ascii="仿宋_GB2312" w:hAnsi="仿宋_GB2312" w:eastAsia="仿宋_GB2312" w:cs="仿宋_GB2312"/>
          <w:kern w:val="1"/>
          <w:sz w:val="32"/>
          <w:szCs w:val="32"/>
          <w:u w:val="none"/>
          <w:lang w:eastAsia="zh-CN"/>
        </w:rPr>
        <w:t>，部分项目不符合</w:t>
      </w:r>
      <w:r>
        <w:rPr>
          <w:rFonts w:hint="eastAsia" w:ascii="仿宋_GB2312" w:hAnsi="仿宋_GB2312" w:eastAsia="仿宋_GB2312" w:cs="仿宋_GB2312"/>
          <w:kern w:val="1"/>
          <w:sz w:val="32"/>
          <w:szCs w:val="32"/>
          <w:u w:val="none"/>
          <w:lang w:val="en-US" w:eastAsia="zh-CN"/>
        </w:rPr>
        <w:t>GB17761-2018《电动自行车安全技术规范》标准，</w:t>
      </w:r>
      <w:r>
        <w:rPr>
          <w:rFonts w:hint="eastAsia" w:ascii="仿宋_GB2312" w:hAnsi="仿宋_GB2312" w:eastAsia="仿宋_GB2312" w:cs="仿宋_GB2312"/>
          <w:kern w:val="1"/>
          <w:sz w:val="32"/>
          <w:szCs w:val="32"/>
          <w:u w:val="none"/>
          <w:lang w:eastAsia="zh-CN"/>
        </w:rPr>
        <w:t>依据《电动自行车产品质量国家监督抽查实施细则》，所检电动自行车被判定为不合格。当日执法人员报经局领导批准，予以立案调查。因当事人法定代表人家中有事，202</w:t>
      </w:r>
      <w:r>
        <w:rPr>
          <w:rFonts w:hint="eastAsia" w:ascii="仿宋_GB2312" w:hAnsi="仿宋_GB2312" w:eastAsia="仿宋_GB2312" w:cs="仿宋_GB2312"/>
          <w:kern w:val="1"/>
          <w:sz w:val="32"/>
          <w:szCs w:val="32"/>
          <w:u w:val="none"/>
          <w:lang w:val="en-US" w:eastAsia="zh-CN"/>
        </w:rPr>
        <w:t>1</w:t>
      </w:r>
      <w:r>
        <w:rPr>
          <w:rFonts w:hint="eastAsia" w:ascii="仿宋_GB2312" w:hAnsi="仿宋_GB2312" w:eastAsia="仿宋_GB2312" w:cs="仿宋_GB2312"/>
          <w:kern w:val="1"/>
          <w:sz w:val="32"/>
          <w:szCs w:val="32"/>
          <w:u w:val="none"/>
          <w:lang w:eastAsia="zh-CN"/>
        </w:rPr>
        <w:t>年</w:t>
      </w:r>
      <w:r>
        <w:rPr>
          <w:rFonts w:hint="eastAsia" w:ascii="仿宋_GB2312" w:hAnsi="仿宋_GB2312" w:eastAsia="仿宋_GB2312" w:cs="仿宋_GB2312"/>
          <w:kern w:val="1"/>
          <w:sz w:val="32"/>
          <w:szCs w:val="32"/>
          <w:u w:val="none"/>
          <w:lang w:val="en-US" w:eastAsia="zh-CN"/>
        </w:rPr>
        <w:t>9</w:t>
      </w:r>
      <w:r>
        <w:rPr>
          <w:rFonts w:hint="eastAsia" w:ascii="仿宋_GB2312" w:hAnsi="仿宋_GB2312" w:eastAsia="仿宋_GB2312" w:cs="仿宋_GB2312"/>
          <w:kern w:val="1"/>
          <w:sz w:val="32"/>
          <w:szCs w:val="32"/>
          <w:u w:val="none"/>
          <w:lang w:eastAsia="zh-CN"/>
        </w:rPr>
        <w:t>月</w:t>
      </w:r>
      <w:r>
        <w:rPr>
          <w:rFonts w:hint="eastAsia" w:ascii="仿宋_GB2312" w:hAnsi="仿宋_GB2312" w:eastAsia="仿宋_GB2312" w:cs="仿宋_GB2312"/>
          <w:kern w:val="1"/>
          <w:sz w:val="32"/>
          <w:szCs w:val="32"/>
          <w:u w:val="none"/>
          <w:lang w:val="en-US" w:eastAsia="zh-CN"/>
        </w:rPr>
        <w:t>29</w:t>
      </w:r>
      <w:r>
        <w:rPr>
          <w:rFonts w:hint="eastAsia" w:ascii="仿宋_GB2312" w:hAnsi="仿宋_GB2312" w:eastAsia="仿宋_GB2312" w:cs="仿宋_GB2312"/>
          <w:kern w:val="1"/>
          <w:sz w:val="32"/>
          <w:szCs w:val="32"/>
          <w:u w:val="none"/>
          <w:lang w:eastAsia="zh-CN"/>
        </w:rPr>
        <w:t>日当事人以书面的形式提出申请停业一</w:t>
      </w:r>
      <w:r>
        <w:rPr>
          <w:rFonts w:hint="eastAsia" w:ascii="仿宋_GB2312" w:hAnsi="仿宋_GB2312" w:eastAsia="仿宋_GB2312" w:cs="仿宋_GB2312"/>
          <w:kern w:val="1"/>
          <w:sz w:val="32"/>
          <w:szCs w:val="32"/>
          <w:u w:val="none"/>
          <w:lang w:val="en-US" w:eastAsia="zh-CN"/>
        </w:rPr>
        <w:t>个月</w:t>
      </w:r>
      <w:r>
        <w:rPr>
          <w:rFonts w:hint="eastAsia" w:ascii="仿宋_GB2312" w:hAnsi="仿宋_GB2312" w:eastAsia="仿宋_GB2312" w:cs="仿宋_GB2312"/>
          <w:kern w:val="1"/>
          <w:sz w:val="32"/>
          <w:szCs w:val="32"/>
          <w:u w:val="none"/>
          <w:lang w:eastAsia="zh-CN"/>
        </w:rPr>
        <w:t>，针对此情况当日执法人员报经局领导同意中止调查。202</w:t>
      </w:r>
      <w:r>
        <w:rPr>
          <w:rFonts w:hint="eastAsia" w:ascii="仿宋_GB2312" w:hAnsi="仿宋_GB2312" w:eastAsia="仿宋_GB2312" w:cs="仿宋_GB2312"/>
          <w:kern w:val="1"/>
          <w:sz w:val="32"/>
          <w:szCs w:val="32"/>
          <w:u w:val="none"/>
          <w:lang w:val="en-US" w:eastAsia="zh-CN"/>
        </w:rPr>
        <w:t>1</w:t>
      </w:r>
      <w:r>
        <w:rPr>
          <w:rFonts w:hint="eastAsia" w:ascii="仿宋_GB2312" w:hAnsi="仿宋_GB2312" w:eastAsia="仿宋_GB2312" w:cs="仿宋_GB2312"/>
          <w:kern w:val="1"/>
          <w:sz w:val="32"/>
          <w:szCs w:val="32"/>
          <w:u w:val="none"/>
          <w:lang w:eastAsia="zh-CN"/>
        </w:rPr>
        <w:t>年</w:t>
      </w:r>
      <w:r>
        <w:rPr>
          <w:rFonts w:hint="eastAsia" w:ascii="仿宋_GB2312" w:hAnsi="仿宋_GB2312" w:eastAsia="仿宋_GB2312" w:cs="仿宋_GB2312"/>
          <w:kern w:val="1"/>
          <w:sz w:val="32"/>
          <w:szCs w:val="32"/>
          <w:u w:val="none"/>
          <w:lang w:val="en-US" w:eastAsia="zh-CN"/>
        </w:rPr>
        <w:t>11</w:t>
      </w:r>
      <w:r>
        <w:rPr>
          <w:rFonts w:hint="eastAsia" w:ascii="仿宋_GB2312" w:hAnsi="仿宋_GB2312" w:eastAsia="仿宋_GB2312" w:cs="仿宋_GB2312"/>
          <w:kern w:val="1"/>
          <w:sz w:val="32"/>
          <w:szCs w:val="32"/>
          <w:u w:val="none"/>
          <w:lang w:eastAsia="zh-CN"/>
        </w:rPr>
        <w:t>月</w:t>
      </w:r>
      <w:r>
        <w:rPr>
          <w:rFonts w:hint="eastAsia" w:ascii="仿宋_GB2312" w:hAnsi="仿宋_GB2312" w:eastAsia="仿宋_GB2312" w:cs="仿宋_GB2312"/>
          <w:kern w:val="1"/>
          <w:sz w:val="32"/>
          <w:szCs w:val="32"/>
          <w:u w:val="none"/>
          <w:lang w:val="en-US" w:eastAsia="zh-CN"/>
        </w:rPr>
        <w:t>1</w:t>
      </w:r>
      <w:r>
        <w:rPr>
          <w:rFonts w:hint="eastAsia" w:ascii="仿宋_GB2312" w:hAnsi="仿宋_GB2312" w:eastAsia="仿宋_GB2312" w:cs="仿宋_GB2312"/>
          <w:kern w:val="1"/>
          <w:sz w:val="32"/>
          <w:szCs w:val="32"/>
          <w:u w:val="none"/>
          <w:lang w:eastAsia="zh-CN"/>
        </w:rPr>
        <w:t>日该案件恢复调查。</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kern w:val="1"/>
          <w:sz w:val="32"/>
          <w:szCs w:val="32"/>
          <w:u w:val="none"/>
        </w:rPr>
      </w:pPr>
      <w:r>
        <w:rPr>
          <w:rFonts w:hint="eastAsia" w:ascii="仿宋_GB2312" w:hAnsi="仿宋_GB2312" w:eastAsia="仿宋_GB2312" w:cs="仿宋_GB2312"/>
          <w:kern w:val="1"/>
          <w:sz w:val="32"/>
          <w:szCs w:val="32"/>
          <w:u w:val="none"/>
          <w:lang w:val="en-US" w:eastAsia="zh-CN"/>
        </w:rPr>
        <w:t xml:space="preserve">   </w:t>
      </w:r>
      <w:r>
        <w:rPr>
          <w:rFonts w:hint="eastAsia" w:ascii="仿宋_GB2312" w:hAnsi="仿宋_GB2312" w:eastAsia="仿宋_GB2312" w:cs="仿宋_GB2312"/>
          <w:kern w:val="1"/>
          <w:sz w:val="32"/>
          <w:szCs w:val="32"/>
          <w:u w:val="none"/>
        </w:rPr>
        <w:t>调查认定的事实：</w:t>
      </w:r>
      <w:r>
        <w:rPr>
          <w:rFonts w:hint="eastAsia" w:ascii="仿宋_GB2312" w:hAnsi="仿宋_GB2312" w:eastAsia="仿宋_GB2312" w:cs="仿宋_GB2312"/>
          <w:kern w:val="1"/>
          <w:sz w:val="32"/>
          <w:szCs w:val="32"/>
          <w:u w:val="none"/>
          <w:lang w:eastAsia="zh-CN"/>
        </w:rPr>
        <w:t>经查，</w:t>
      </w:r>
      <w:r>
        <w:rPr>
          <w:rFonts w:hint="eastAsia" w:ascii="仿宋_GB2312" w:hAnsi="仿宋_GB2312" w:eastAsia="仿宋_GB2312" w:cs="仿宋_GB2312"/>
          <w:kern w:val="1"/>
          <w:sz w:val="32"/>
          <w:szCs w:val="32"/>
          <w:u w:val="none"/>
        </w:rPr>
        <w:t>当事人20</w:t>
      </w:r>
      <w:r>
        <w:rPr>
          <w:rFonts w:hint="eastAsia" w:ascii="仿宋_GB2312" w:hAnsi="仿宋_GB2312" w:eastAsia="仿宋_GB2312" w:cs="仿宋_GB2312"/>
          <w:kern w:val="1"/>
          <w:sz w:val="32"/>
          <w:szCs w:val="32"/>
          <w:u w:val="none"/>
          <w:lang w:val="en-US" w:eastAsia="zh-CN"/>
        </w:rPr>
        <w:t>21</w:t>
      </w:r>
      <w:r>
        <w:rPr>
          <w:rFonts w:hint="eastAsia" w:ascii="仿宋_GB2312" w:hAnsi="仿宋_GB2312" w:eastAsia="仿宋_GB2312" w:cs="仿宋_GB2312"/>
          <w:kern w:val="1"/>
          <w:sz w:val="32"/>
          <w:szCs w:val="32"/>
          <w:u w:val="none"/>
        </w:rPr>
        <w:t>年</w:t>
      </w:r>
      <w:r>
        <w:rPr>
          <w:rFonts w:hint="eastAsia" w:ascii="仿宋_GB2312" w:hAnsi="仿宋_GB2312" w:eastAsia="仿宋_GB2312" w:cs="仿宋_GB2312"/>
          <w:kern w:val="1"/>
          <w:sz w:val="32"/>
          <w:szCs w:val="32"/>
          <w:u w:val="none"/>
          <w:lang w:val="en-US" w:eastAsia="zh-CN"/>
        </w:rPr>
        <w:t>7</w:t>
      </w:r>
      <w:r>
        <w:rPr>
          <w:rFonts w:hint="eastAsia" w:ascii="仿宋_GB2312" w:hAnsi="仿宋_GB2312" w:eastAsia="仿宋_GB2312" w:cs="仿宋_GB2312"/>
          <w:kern w:val="1"/>
          <w:sz w:val="32"/>
          <w:szCs w:val="32"/>
          <w:u w:val="none"/>
        </w:rPr>
        <w:t>月</w:t>
      </w:r>
      <w:r>
        <w:rPr>
          <w:rFonts w:hint="eastAsia" w:ascii="仿宋_GB2312" w:hAnsi="仿宋_GB2312" w:eastAsia="仿宋_GB2312" w:cs="仿宋_GB2312"/>
          <w:kern w:val="1"/>
          <w:sz w:val="32"/>
          <w:szCs w:val="32"/>
          <w:u w:val="none"/>
          <w:lang w:val="en-US" w:eastAsia="zh-CN"/>
        </w:rPr>
        <w:t>31</w:t>
      </w:r>
      <w:r>
        <w:rPr>
          <w:rFonts w:hint="eastAsia" w:ascii="仿宋_GB2312" w:hAnsi="仿宋_GB2312" w:eastAsia="仿宋_GB2312" w:cs="仿宋_GB2312"/>
          <w:kern w:val="1"/>
          <w:sz w:val="32"/>
          <w:szCs w:val="32"/>
          <w:u w:val="none"/>
        </w:rPr>
        <w:t>日</w:t>
      </w:r>
      <w:r>
        <w:rPr>
          <w:rFonts w:hint="eastAsia" w:ascii="仿宋_GB2312" w:hAnsi="仿宋_GB2312" w:eastAsia="仿宋_GB2312" w:cs="仿宋_GB2312"/>
          <w:kern w:val="1"/>
          <w:sz w:val="32"/>
          <w:szCs w:val="32"/>
          <w:u w:val="none"/>
          <w:lang w:eastAsia="zh-CN"/>
        </w:rPr>
        <w:t>生产的</w:t>
      </w:r>
      <w:r>
        <w:rPr>
          <w:rFonts w:hint="eastAsia" w:ascii="仿宋_GB2312" w:hAnsi="仿宋_GB2312" w:eastAsia="仿宋_GB2312" w:cs="仿宋_GB2312"/>
          <w:kern w:val="1"/>
          <w:sz w:val="32"/>
          <w:szCs w:val="32"/>
          <w:u w:val="none"/>
          <w:lang w:val="en-US" w:eastAsia="zh-CN"/>
        </w:rPr>
        <w:t>10辆</w:t>
      </w:r>
      <w:r>
        <w:rPr>
          <w:rFonts w:hint="eastAsia" w:ascii="仿宋_GB2312" w:hAnsi="仿宋_GB2312" w:eastAsia="仿宋_GB2312" w:cs="仿宋_GB2312"/>
          <w:kern w:val="1"/>
          <w:sz w:val="32"/>
          <w:szCs w:val="32"/>
          <w:u w:val="none"/>
        </w:rPr>
        <w:t>型号</w:t>
      </w:r>
      <w:r>
        <w:rPr>
          <w:rFonts w:hint="eastAsia" w:ascii="仿宋_GB2312" w:hAnsi="仿宋_GB2312" w:eastAsia="仿宋_GB2312" w:cs="仿宋_GB2312"/>
          <w:kern w:val="1"/>
          <w:sz w:val="32"/>
          <w:szCs w:val="32"/>
          <w:u w:val="none"/>
          <w:lang w:eastAsia="zh-CN"/>
        </w:rPr>
        <w:t>为</w:t>
      </w:r>
      <w:r>
        <w:rPr>
          <w:rFonts w:hint="eastAsia" w:ascii="仿宋_GB2312" w:hAnsi="仿宋_GB2312" w:eastAsia="仿宋_GB2312" w:cs="仿宋_GB2312"/>
          <w:kern w:val="1"/>
          <w:sz w:val="32"/>
          <w:szCs w:val="32"/>
          <w:u w:val="none"/>
        </w:rPr>
        <w:t>TD</w:t>
      </w:r>
      <w:r>
        <w:rPr>
          <w:rFonts w:hint="eastAsia" w:ascii="仿宋_GB2312" w:hAnsi="仿宋_GB2312" w:eastAsia="仿宋_GB2312" w:cs="仿宋_GB2312"/>
          <w:kern w:val="1"/>
          <w:sz w:val="32"/>
          <w:szCs w:val="32"/>
          <w:u w:val="none"/>
          <w:lang w:val="en-US" w:eastAsia="zh-CN"/>
        </w:rPr>
        <w:t>S0021Z</w:t>
      </w:r>
      <w:r>
        <w:rPr>
          <w:rFonts w:hint="eastAsia" w:ascii="仿宋_GB2312" w:hAnsi="仿宋_GB2312" w:eastAsia="仿宋_GB2312" w:cs="仿宋_GB2312"/>
          <w:kern w:val="1"/>
          <w:sz w:val="32"/>
          <w:szCs w:val="32"/>
          <w:u w:val="none"/>
          <w:lang w:eastAsia="zh-CN"/>
        </w:rPr>
        <w:t>的电动自行车脚蹬间隙、</w:t>
      </w:r>
      <w:r>
        <w:rPr>
          <w:rFonts w:hint="eastAsia" w:ascii="仿宋_GB2312" w:hAnsi="仿宋_GB2312" w:eastAsia="仿宋_GB2312" w:cs="仿宋_GB2312"/>
          <w:kern w:val="1"/>
          <w:sz w:val="32"/>
          <w:szCs w:val="32"/>
          <w:u w:val="none"/>
        </w:rPr>
        <w:t>车速提示音</w:t>
      </w:r>
      <w:r>
        <w:rPr>
          <w:rFonts w:hint="eastAsia" w:ascii="仿宋_GB2312" w:hAnsi="仿宋_GB2312" w:eastAsia="仿宋_GB2312" w:cs="仿宋_GB2312"/>
          <w:kern w:val="1"/>
          <w:sz w:val="32"/>
          <w:szCs w:val="32"/>
          <w:u w:val="none"/>
          <w:lang w:eastAsia="zh-CN"/>
        </w:rPr>
        <w:t>、</w:t>
      </w:r>
      <w:r>
        <w:rPr>
          <w:rFonts w:hint="eastAsia" w:ascii="仿宋_GB2312" w:hAnsi="仿宋_GB2312" w:eastAsia="仿宋_GB2312" w:cs="仿宋_GB2312"/>
          <w:kern w:val="1"/>
          <w:sz w:val="32"/>
          <w:szCs w:val="32"/>
          <w:u w:val="none"/>
        </w:rPr>
        <w:t>反射器</w:t>
      </w:r>
      <w:r>
        <w:rPr>
          <w:rFonts w:hint="eastAsia" w:ascii="仿宋_GB2312" w:hAnsi="仿宋_GB2312" w:eastAsia="仿宋_GB2312" w:cs="仿宋_GB2312"/>
          <w:kern w:val="1"/>
          <w:sz w:val="32"/>
          <w:szCs w:val="32"/>
          <w:u w:val="none"/>
          <w:lang w:eastAsia="zh-CN"/>
        </w:rPr>
        <w:t>、照明</w:t>
      </w:r>
      <w:r>
        <w:rPr>
          <w:rFonts w:hint="eastAsia" w:ascii="仿宋_GB2312" w:hAnsi="仿宋_GB2312" w:eastAsia="仿宋_GB2312" w:cs="仿宋_GB2312"/>
          <w:kern w:val="1"/>
          <w:sz w:val="32"/>
          <w:szCs w:val="32"/>
          <w:u w:val="none"/>
        </w:rPr>
        <w:t>项目</w:t>
      </w:r>
      <w:r>
        <w:rPr>
          <w:rFonts w:hint="eastAsia" w:ascii="仿宋_GB2312" w:hAnsi="仿宋_GB2312" w:eastAsia="仿宋_GB2312" w:cs="仿宋_GB2312"/>
          <w:kern w:val="1"/>
          <w:sz w:val="32"/>
          <w:szCs w:val="32"/>
          <w:u w:val="none"/>
          <w:lang w:eastAsia="zh-CN"/>
        </w:rPr>
        <w:t>和</w:t>
      </w:r>
      <w:r>
        <w:rPr>
          <w:rFonts w:hint="eastAsia" w:ascii="仿宋_GB2312" w:hAnsi="仿宋_GB2312" w:eastAsia="仿宋_GB2312" w:cs="仿宋_GB2312"/>
          <w:kern w:val="1"/>
          <w:sz w:val="32"/>
          <w:szCs w:val="32"/>
          <w:u w:val="none"/>
          <w:lang w:val="en-US" w:eastAsia="zh-CN"/>
        </w:rPr>
        <w:t>2021年6月30日生产的7辆规格型号为TDS0020Z的电动自行车</w:t>
      </w:r>
      <w:r>
        <w:rPr>
          <w:rFonts w:hint="eastAsia" w:ascii="仿宋_GB2312" w:hAnsi="仿宋_GB2312" w:eastAsia="仿宋_GB2312" w:cs="仿宋_GB2312"/>
          <w:kern w:val="1"/>
          <w:sz w:val="32"/>
          <w:szCs w:val="32"/>
          <w:u w:val="none"/>
          <w:lang w:eastAsia="zh-CN"/>
        </w:rPr>
        <w:t>突出物、车速提示音、照明项目</w:t>
      </w:r>
      <w:r>
        <w:rPr>
          <w:rFonts w:hint="eastAsia" w:ascii="仿宋_GB2312" w:hAnsi="仿宋_GB2312" w:eastAsia="仿宋_GB2312" w:cs="仿宋_GB2312"/>
          <w:kern w:val="1"/>
          <w:sz w:val="32"/>
          <w:szCs w:val="32"/>
          <w:u w:val="none"/>
          <w:lang w:val="en-US" w:eastAsia="zh-CN"/>
        </w:rPr>
        <w:t>，在天津市市场监督管理委员会委托的专项抽查中，经国家自行车电动自行车质量检验中心</w:t>
      </w:r>
      <w:r>
        <w:rPr>
          <w:rFonts w:hint="eastAsia" w:ascii="仿宋_GB2312" w:hAnsi="仿宋_GB2312" w:eastAsia="仿宋_GB2312" w:cs="仿宋_GB2312"/>
          <w:kern w:val="1"/>
          <w:sz w:val="32"/>
          <w:szCs w:val="32"/>
          <w:u w:val="none"/>
        </w:rPr>
        <w:t>的</w:t>
      </w:r>
      <w:r>
        <w:rPr>
          <w:rFonts w:hint="eastAsia" w:ascii="仿宋_GB2312" w:hAnsi="仿宋_GB2312" w:eastAsia="仿宋_GB2312" w:cs="仿宋_GB2312"/>
          <w:kern w:val="1"/>
          <w:sz w:val="32"/>
          <w:szCs w:val="32"/>
          <w:u w:val="none"/>
          <w:lang w:eastAsia="zh-CN"/>
        </w:rPr>
        <w:t>抽样检验，均不符合</w:t>
      </w:r>
      <w:r>
        <w:rPr>
          <w:rFonts w:hint="eastAsia" w:ascii="仿宋_GB2312" w:hAnsi="仿宋_GB2312" w:eastAsia="仿宋_GB2312" w:cs="仿宋_GB2312"/>
          <w:kern w:val="1"/>
          <w:sz w:val="32"/>
          <w:szCs w:val="32"/>
          <w:u w:val="none"/>
          <w:lang w:val="en-US" w:eastAsia="zh-CN"/>
        </w:rPr>
        <w:t>GB17761-2018《电动自行车安全技术规范》标准，</w:t>
      </w:r>
      <w:r>
        <w:rPr>
          <w:rFonts w:hint="eastAsia" w:ascii="仿宋_GB2312" w:hAnsi="仿宋_GB2312" w:eastAsia="仿宋_GB2312" w:cs="仿宋_GB2312"/>
          <w:kern w:val="1"/>
          <w:sz w:val="32"/>
          <w:szCs w:val="32"/>
          <w:u w:val="none"/>
        </w:rPr>
        <w:t>依据《电动自行车产品质量国家监督抽查</w:t>
      </w:r>
      <w:r>
        <w:rPr>
          <w:rFonts w:hint="eastAsia" w:ascii="仿宋_GB2312" w:hAnsi="仿宋_GB2312" w:eastAsia="仿宋_GB2312" w:cs="仿宋_GB2312"/>
          <w:kern w:val="1"/>
          <w:sz w:val="32"/>
          <w:szCs w:val="32"/>
          <w:u w:val="none"/>
          <w:lang w:eastAsia="zh-CN"/>
        </w:rPr>
        <w:t>实施细则》</w:t>
      </w:r>
      <w:r>
        <w:rPr>
          <w:rFonts w:hint="eastAsia" w:ascii="仿宋_GB2312" w:hAnsi="仿宋_GB2312" w:eastAsia="仿宋_GB2312" w:cs="仿宋_GB2312"/>
          <w:kern w:val="1"/>
          <w:sz w:val="32"/>
          <w:szCs w:val="32"/>
          <w:u w:val="none"/>
        </w:rPr>
        <w:t>，</w:t>
      </w:r>
      <w:r>
        <w:rPr>
          <w:rFonts w:hint="eastAsia" w:ascii="仿宋_GB2312" w:hAnsi="仿宋_GB2312" w:eastAsia="仿宋_GB2312" w:cs="仿宋_GB2312"/>
          <w:kern w:val="1"/>
          <w:sz w:val="32"/>
          <w:szCs w:val="32"/>
          <w:u w:val="none"/>
          <w:lang w:eastAsia="zh-CN"/>
        </w:rPr>
        <w:t>上述两款电动自行车被</w:t>
      </w:r>
      <w:r>
        <w:rPr>
          <w:rFonts w:hint="eastAsia" w:ascii="仿宋_GB2312" w:hAnsi="仿宋_GB2312" w:eastAsia="仿宋_GB2312" w:cs="仿宋_GB2312"/>
          <w:kern w:val="1"/>
          <w:sz w:val="32"/>
          <w:szCs w:val="32"/>
          <w:u w:val="none"/>
        </w:rPr>
        <w:t>判定为不合格</w:t>
      </w:r>
      <w:r>
        <w:rPr>
          <w:rFonts w:hint="eastAsia" w:ascii="仿宋_GB2312" w:hAnsi="仿宋_GB2312" w:eastAsia="仿宋_GB2312" w:cs="仿宋_GB2312"/>
          <w:kern w:val="1"/>
          <w:sz w:val="32"/>
          <w:szCs w:val="32"/>
          <w:u w:val="none"/>
          <w:lang w:eastAsia="zh-CN"/>
        </w:rPr>
        <w:t>产品</w:t>
      </w:r>
      <w:r>
        <w:rPr>
          <w:rFonts w:hint="eastAsia" w:ascii="仿宋_GB2312" w:hAnsi="仿宋_GB2312" w:eastAsia="仿宋_GB2312" w:cs="仿宋_GB2312"/>
          <w:kern w:val="1"/>
          <w:sz w:val="32"/>
          <w:szCs w:val="32"/>
          <w:u w:val="none"/>
        </w:rPr>
        <w:t>。</w:t>
      </w:r>
      <w:r>
        <w:rPr>
          <w:rFonts w:hint="eastAsia" w:ascii="仿宋_GB2312" w:hAnsi="仿宋_GB2312" w:eastAsia="仿宋_GB2312" w:cs="仿宋_GB2312"/>
          <w:kern w:val="1"/>
          <w:sz w:val="32"/>
          <w:szCs w:val="32"/>
          <w:u w:val="none"/>
          <w:lang w:eastAsia="zh-CN"/>
        </w:rPr>
        <w:t>当事人对检验结果无异议，未申请复检。当事人的上述行为满足生产不符合保障人体健康和人身财产安全的国家标准</w:t>
      </w:r>
      <w:r>
        <w:rPr>
          <w:rFonts w:hint="eastAsia" w:ascii="仿宋_GB2312" w:hAnsi="仿宋_GB2312" w:eastAsia="仿宋_GB2312" w:cs="仿宋_GB2312"/>
          <w:kern w:val="1"/>
          <w:sz w:val="32"/>
          <w:szCs w:val="32"/>
          <w:u w:val="none"/>
        </w:rPr>
        <w:t>的</w:t>
      </w:r>
      <w:r>
        <w:rPr>
          <w:rFonts w:hint="eastAsia" w:ascii="仿宋_GB2312" w:hAnsi="仿宋_GB2312" w:eastAsia="仿宋_GB2312" w:cs="仿宋_GB2312"/>
          <w:kern w:val="1"/>
          <w:sz w:val="32"/>
          <w:szCs w:val="32"/>
          <w:u w:val="none"/>
          <w:lang w:eastAsia="zh-CN"/>
        </w:rPr>
        <w:t>电动自行车的构成要件。</w:t>
      </w:r>
      <w:r>
        <w:rPr>
          <w:rFonts w:hint="eastAsia" w:ascii="仿宋_GB2312" w:hAnsi="仿宋_GB2312" w:eastAsia="仿宋_GB2312" w:cs="仿宋_GB2312"/>
          <w:kern w:val="1"/>
          <w:sz w:val="32"/>
          <w:szCs w:val="32"/>
          <w:u w:val="none"/>
        </w:rPr>
        <w:t>上述</w:t>
      </w:r>
      <w:r>
        <w:rPr>
          <w:rFonts w:hint="eastAsia" w:ascii="仿宋_GB2312" w:hAnsi="仿宋_GB2312" w:eastAsia="仿宋_GB2312" w:cs="仿宋_GB2312"/>
          <w:kern w:val="1"/>
          <w:sz w:val="32"/>
          <w:szCs w:val="32"/>
          <w:u w:val="none"/>
          <w:lang w:eastAsia="zh-CN"/>
        </w:rPr>
        <w:t>电动自行车当事人未销售，无违法所得；</w:t>
      </w:r>
      <w:r>
        <w:rPr>
          <w:rFonts w:hint="eastAsia" w:ascii="仿宋_GB2312" w:hAnsi="仿宋_GB2312" w:eastAsia="仿宋_GB2312" w:cs="仿宋_GB2312"/>
          <w:kern w:val="1"/>
          <w:sz w:val="32"/>
          <w:szCs w:val="32"/>
          <w:u w:val="none"/>
          <w:lang w:val="en-US" w:eastAsia="zh-CN"/>
        </w:rPr>
        <w:t>2021年11月26日当事人提交了自行拆解不合格电动自行车的证据照片及有关被判定不合格电动自行车生产数和销售定价的情况说明材料，材料显示</w:t>
      </w:r>
      <w:r>
        <w:rPr>
          <w:rFonts w:hint="eastAsia" w:ascii="仿宋_GB2312" w:hAnsi="仿宋_GB2312" w:eastAsia="仿宋_GB2312" w:cs="仿宋_GB2312"/>
          <w:kern w:val="1"/>
          <w:sz w:val="32"/>
          <w:szCs w:val="32"/>
          <w:u w:val="none"/>
        </w:rPr>
        <w:t>规格型号</w:t>
      </w:r>
      <w:r>
        <w:rPr>
          <w:rFonts w:hint="eastAsia" w:ascii="仿宋_GB2312" w:hAnsi="仿宋_GB2312" w:eastAsia="仿宋_GB2312" w:cs="仿宋_GB2312"/>
          <w:kern w:val="1"/>
          <w:sz w:val="32"/>
          <w:szCs w:val="32"/>
          <w:u w:val="none"/>
          <w:lang w:eastAsia="zh-CN"/>
        </w:rPr>
        <w:t>为</w:t>
      </w:r>
      <w:r>
        <w:rPr>
          <w:rFonts w:hint="eastAsia" w:ascii="仿宋_GB2312" w:hAnsi="仿宋_GB2312" w:eastAsia="仿宋_GB2312" w:cs="仿宋_GB2312"/>
          <w:kern w:val="1"/>
          <w:sz w:val="32"/>
          <w:szCs w:val="32"/>
          <w:u w:val="none"/>
        </w:rPr>
        <w:t>TD</w:t>
      </w:r>
      <w:r>
        <w:rPr>
          <w:rFonts w:hint="eastAsia" w:ascii="仿宋_GB2312" w:hAnsi="仿宋_GB2312" w:eastAsia="仿宋_GB2312" w:cs="仿宋_GB2312"/>
          <w:kern w:val="1"/>
          <w:sz w:val="32"/>
          <w:szCs w:val="32"/>
          <w:u w:val="none"/>
          <w:lang w:val="en-US" w:eastAsia="zh-CN"/>
        </w:rPr>
        <w:t>S0021Z</w:t>
      </w:r>
      <w:r>
        <w:rPr>
          <w:rFonts w:hint="eastAsia" w:ascii="仿宋_GB2312" w:hAnsi="仿宋_GB2312" w:eastAsia="仿宋_GB2312" w:cs="仿宋_GB2312"/>
          <w:kern w:val="1"/>
          <w:sz w:val="32"/>
          <w:szCs w:val="32"/>
          <w:u w:val="none"/>
          <w:lang w:eastAsia="zh-CN"/>
        </w:rPr>
        <w:t>的电动自行车该公司销售定价为</w:t>
      </w:r>
      <w:r>
        <w:rPr>
          <w:rFonts w:hint="eastAsia" w:ascii="仿宋_GB2312" w:hAnsi="仿宋_GB2312" w:eastAsia="仿宋_GB2312" w:cs="仿宋_GB2312"/>
          <w:kern w:val="1"/>
          <w:sz w:val="32"/>
          <w:szCs w:val="32"/>
          <w:u w:val="none"/>
          <w:lang w:val="en-US" w:eastAsia="zh-CN"/>
        </w:rPr>
        <w:t>400元/辆；规格型号为TDS0020Z的电动自行车该公司销售定价为395元/辆。</w:t>
      </w:r>
      <w:r>
        <w:rPr>
          <w:rFonts w:hint="eastAsia" w:ascii="仿宋_GB2312" w:hAnsi="仿宋_GB2312" w:eastAsia="仿宋_GB2312" w:cs="仿宋_GB2312"/>
          <w:kern w:val="1"/>
          <w:sz w:val="32"/>
          <w:szCs w:val="32"/>
          <w:u w:val="none"/>
        </w:rPr>
        <w:t>根据其销售</w:t>
      </w:r>
      <w:r>
        <w:rPr>
          <w:rFonts w:hint="eastAsia" w:ascii="仿宋_GB2312" w:hAnsi="仿宋_GB2312" w:eastAsia="仿宋_GB2312" w:cs="仿宋_GB2312"/>
          <w:kern w:val="1"/>
          <w:sz w:val="32"/>
          <w:szCs w:val="32"/>
          <w:u w:val="none"/>
          <w:lang w:eastAsia="zh-CN"/>
        </w:rPr>
        <w:t>定价</w:t>
      </w:r>
      <w:r>
        <w:rPr>
          <w:rFonts w:hint="eastAsia" w:ascii="仿宋_GB2312" w:hAnsi="仿宋_GB2312" w:eastAsia="仿宋_GB2312" w:cs="仿宋_GB2312"/>
          <w:kern w:val="1"/>
          <w:sz w:val="32"/>
          <w:szCs w:val="32"/>
          <w:u w:val="none"/>
        </w:rPr>
        <w:t>计算，</w:t>
      </w:r>
      <w:r>
        <w:rPr>
          <w:rFonts w:hint="eastAsia" w:ascii="仿宋_GB2312" w:hAnsi="仿宋_GB2312" w:eastAsia="仿宋_GB2312" w:cs="仿宋_GB2312"/>
          <w:kern w:val="1"/>
          <w:sz w:val="32"/>
          <w:szCs w:val="32"/>
          <w:u w:val="none"/>
          <w:lang w:eastAsia="zh-CN"/>
        </w:rPr>
        <w:t>本案的货值金额为</w:t>
      </w:r>
      <w:r>
        <w:rPr>
          <w:rFonts w:hint="eastAsia" w:ascii="仿宋_GB2312" w:hAnsi="仿宋_GB2312" w:eastAsia="仿宋_GB2312" w:cs="仿宋_GB2312"/>
          <w:kern w:val="1"/>
          <w:sz w:val="32"/>
          <w:szCs w:val="32"/>
          <w:u w:val="none"/>
          <w:lang w:val="en-US" w:eastAsia="zh-CN"/>
        </w:rPr>
        <w:t>6765</w:t>
      </w:r>
      <w:r>
        <w:rPr>
          <w:rFonts w:hint="eastAsia" w:ascii="仿宋_GB2312" w:hAnsi="仿宋_GB2312" w:eastAsia="仿宋_GB2312" w:cs="仿宋_GB2312"/>
          <w:kern w:val="1"/>
          <w:sz w:val="32"/>
          <w:szCs w:val="32"/>
          <w:u w:val="none"/>
        </w:rPr>
        <w:t xml:space="preserve">元。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kern w:val="1"/>
          <w:sz w:val="32"/>
          <w:szCs w:val="32"/>
          <w:u w:val="none"/>
        </w:rPr>
      </w:pPr>
      <w:r>
        <w:rPr>
          <w:rFonts w:hint="eastAsia" w:ascii="仿宋_GB2312" w:hAnsi="仿宋_GB2312" w:eastAsia="仿宋_GB2312" w:cs="仿宋_GB2312"/>
          <w:kern w:val="1"/>
          <w:sz w:val="32"/>
          <w:szCs w:val="32"/>
          <w:u w:val="none"/>
          <w:lang w:val="en-US" w:eastAsia="zh-CN"/>
        </w:rPr>
        <w:t xml:space="preserve">    </w:t>
      </w:r>
      <w:r>
        <w:rPr>
          <w:rFonts w:hint="eastAsia" w:ascii="仿宋_GB2312" w:hAnsi="仿宋_GB2312" w:eastAsia="仿宋_GB2312" w:cs="仿宋_GB2312"/>
          <w:kern w:val="1"/>
          <w:sz w:val="32"/>
          <w:szCs w:val="32"/>
          <w:u w:val="none"/>
        </w:rPr>
        <w:t>上述事实，主要有以下证据证明：</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kern w:val="1"/>
          <w:sz w:val="32"/>
          <w:szCs w:val="32"/>
          <w:u w:val="none"/>
        </w:rPr>
      </w:pPr>
      <w:r>
        <w:rPr>
          <w:rFonts w:hint="eastAsia" w:ascii="仿宋_GB2312" w:hAnsi="仿宋_GB2312" w:eastAsia="仿宋_GB2312" w:cs="仿宋_GB2312"/>
          <w:kern w:val="1"/>
          <w:sz w:val="32"/>
          <w:szCs w:val="32"/>
          <w:u w:val="none"/>
          <w:lang w:val="en-US" w:eastAsia="zh-CN"/>
        </w:rPr>
        <w:t xml:space="preserve">    </w:t>
      </w:r>
      <w:r>
        <w:rPr>
          <w:rFonts w:hint="eastAsia" w:ascii="仿宋_GB2312" w:hAnsi="仿宋_GB2312" w:eastAsia="仿宋_GB2312" w:cs="仿宋_GB2312"/>
          <w:kern w:val="1"/>
          <w:sz w:val="32"/>
          <w:szCs w:val="32"/>
          <w:u w:val="none"/>
        </w:rPr>
        <w:t>1、当事人营业执照、</w:t>
      </w:r>
      <w:r>
        <w:rPr>
          <w:rFonts w:hint="eastAsia" w:ascii="仿宋_GB2312" w:hAnsi="仿宋_GB2312" w:eastAsia="仿宋_GB2312" w:cs="仿宋_GB2312"/>
          <w:kern w:val="1"/>
          <w:sz w:val="32"/>
          <w:szCs w:val="32"/>
          <w:u w:val="none"/>
          <w:lang w:eastAsia="zh-CN"/>
        </w:rPr>
        <w:t>法定代表人</w:t>
      </w:r>
      <w:r>
        <w:rPr>
          <w:rFonts w:hint="eastAsia" w:ascii="仿宋_GB2312" w:hAnsi="仿宋_GB2312" w:eastAsia="仿宋_GB2312" w:cs="仿宋_GB2312"/>
          <w:kern w:val="1"/>
          <w:sz w:val="32"/>
          <w:szCs w:val="32"/>
          <w:u w:val="none"/>
        </w:rPr>
        <w:t>的身份证复印件。证明了当事人的主体资格；</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kern w:val="1"/>
          <w:sz w:val="32"/>
          <w:szCs w:val="32"/>
          <w:u w:val="none"/>
        </w:rPr>
      </w:pPr>
      <w:r>
        <w:rPr>
          <w:rFonts w:hint="eastAsia" w:ascii="仿宋_GB2312" w:hAnsi="仿宋_GB2312" w:eastAsia="仿宋_GB2312" w:cs="仿宋_GB2312"/>
          <w:kern w:val="1"/>
          <w:sz w:val="32"/>
          <w:szCs w:val="32"/>
          <w:u w:val="none"/>
          <w:lang w:val="en-US" w:eastAsia="zh-CN"/>
        </w:rPr>
        <w:t xml:space="preserve">    </w:t>
      </w:r>
      <w:r>
        <w:rPr>
          <w:rFonts w:hint="eastAsia" w:ascii="仿宋_GB2312" w:hAnsi="仿宋_GB2312" w:eastAsia="仿宋_GB2312" w:cs="仿宋_GB2312"/>
          <w:kern w:val="1"/>
          <w:sz w:val="32"/>
          <w:szCs w:val="32"/>
          <w:u w:val="none"/>
        </w:rPr>
        <w:t>2、</w:t>
      </w:r>
      <w:r>
        <w:rPr>
          <w:rFonts w:hint="eastAsia" w:ascii="仿宋_GB2312" w:hAnsi="仿宋_GB2312" w:eastAsia="仿宋_GB2312" w:cs="仿宋_GB2312"/>
          <w:kern w:val="1"/>
          <w:sz w:val="32"/>
          <w:szCs w:val="32"/>
          <w:u w:val="none"/>
          <w:lang w:eastAsia="zh-CN"/>
        </w:rPr>
        <w:t>《检验报告》（报告编号：</w:t>
      </w:r>
      <w:r>
        <w:rPr>
          <w:rFonts w:hint="eastAsia" w:ascii="仿宋_GB2312" w:hAnsi="仿宋_GB2312" w:eastAsia="仿宋_GB2312" w:cs="仿宋_GB2312"/>
          <w:kern w:val="1"/>
          <w:sz w:val="32"/>
          <w:szCs w:val="32"/>
          <w:u w:val="none"/>
        </w:rPr>
        <w:t>No：</w:t>
      </w:r>
      <w:r>
        <w:rPr>
          <w:rFonts w:hint="eastAsia" w:ascii="仿宋_GB2312" w:hAnsi="仿宋_GB2312" w:eastAsia="仿宋_GB2312" w:cs="仿宋_GB2312"/>
          <w:kern w:val="1"/>
          <w:sz w:val="32"/>
          <w:szCs w:val="32"/>
          <w:u w:val="none"/>
          <w:lang w:val="en-US" w:eastAsia="zh-CN"/>
        </w:rPr>
        <w:t>2141265</w:t>
      </w:r>
      <w:r>
        <w:rPr>
          <w:rFonts w:hint="eastAsia" w:ascii="仿宋_GB2312" w:hAnsi="仿宋_GB2312" w:eastAsia="仿宋_GB2312" w:cs="仿宋_GB2312"/>
          <w:kern w:val="1"/>
          <w:sz w:val="32"/>
          <w:szCs w:val="32"/>
          <w:u w:val="none"/>
          <w:lang w:eastAsia="zh-CN"/>
        </w:rPr>
        <w:t>、</w:t>
      </w:r>
      <w:r>
        <w:rPr>
          <w:rFonts w:hint="eastAsia" w:ascii="仿宋_GB2312" w:hAnsi="仿宋_GB2312" w:eastAsia="仿宋_GB2312" w:cs="仿宋_GB2312"/>
          <w:kern w:val="1"/>
          <w:sz w:val="32"/>
          <w:szCs w:val="32"/>
          <w:u w:val="none"/>
        </w:rPr>
        <w:t>No：</w:t>
      </w:r>
      <w:r>
        <w:rPr>
          <w:rFonts w:hint="eastAsia" w:ascii="仿宋_GB2312" w:hAnsi="仿宋_GB2312" w:eastAsia="仿宋_GB2312" w:cs="仿宋_GB2312"/>
          <w:kern w:val="1"/>
          <w:sz w:val="32"/>
          <w:szCs w:val="32"/>
          <w:u w:val="none"/>
          <w:lang w:val="en-US" w:eastAsia="zh-CN"/>
        </w:rPr>
        <w:t>2141266</w:t>
      </w:r>
      <w:r>
        <w:rPr>
          <w:rFonts w:hint="eastAsia" w:ascii="仿宋_GB2312" w:hAnsi="仿宋_GB2312" w:eastAsia="仿宋_GB2312" w:cs="仿宋_GB2312"/>
          <w:kern w:val="1"/>
          <w:sz w:val="32"/>
          <w:szCs w:val="32"/>
          <w:u w:val="none"/>
          <w:lang w:eastAsia="zh-CN"/>
        </w:rPr>
        <w:t>），产品质量监督抽查抽检委托书复印件，检验检测机构资质认证书复印件，证明了当事人生产的电动自行车被判定为不合格产品的真实性；</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kern w:val="1"/>
          <w:sz w:val="32"/>
          <w:szCs w:val="32"/>
          <w:u w:val="none"/>
        </w:rPr>
      </w:pPr>
      <w:r>
        <w:rPr>
          <w:rFonts w:hint="eastAsia" w:ascii="仿宋_GB2312" w:hAnsi="仿宋_GB2312" w:eastAsia="仿宋_GB2312" w:cs="仿宋_GB2312"/>
          <w:kern w:val="1"/>
          <w:sz w:val="32"/>
          <w:szCs w:val="32"/>
          <w:u w:val="none"/>
          <w:lang w:val="en-US" w:eastAsia="zh-CN"/>
        </w:rPr>
        <w:t xml:space="preserve">    </w:t>
      </w:r>
      <w:r>
        <w:rPr>
          <w:rFonts w:hint="eastAsia" w:ascii="仿宋_GB2312" w:hAnsi="仿宋_GB2312" w:eastAsia="仿宋_GB2312" w:cs="仿宋_GB2312"/>
          <w:kern w:val="1"/>
          <w:sz w:val="32"/>
          <w:szCs w:val="32"/>
          <w:u w:val="none"/>
        </w:rPr>
        <w:t>3、</w:t>
      </w:r>
      <w:r>
        <w:rPr>
          <w:rFonts w:hint="eastAsia" w:ascii="仿宋_GB2312" w:hAnsi="仿宋_GB2312" w:eastAsia="仿宋_GB2312" w:cs="仿宋_GB2312"/>
          <w:kern w:val="1"/>
          <w:sz w:val="32"/>
          <w:szCs w:val="32"/>
          <w:u w:val="none"/>
          <w:lang w:eastAsia="zh-CN"/>
        </w:rPr>
        <w:t>涉案电动自行车生产执行标准</w:t>
      </w:r>
      <w:r>
        <w:rPr>
          <w:rFonts w:hint="eastAsia" w:ascii="仿宋_GB2312" w:hAnsi="仿宋_GB2312" w:eastAsia="仿宋_GB2312" w:cs="仿宋_GB2312"/>
          <w:kern w:val="1"/>
          <w:sz w:val="32"/>
          <w:szCs w:val="32"/>
          <w:u w:val="none"/>
          <w:lang w:val="en-US" w:eastAsia="zh-CN"/>
        </w:rPr>
        <w:t>GB17761-2018《电动自行车安全技术规范》及</w:t>
      </w:r>
      <w:r>
        <w:rPr>
          <w:rFonts w:hint="eastAsia" w:ascii="仿宋_GB2312" w:hAnsi="仿宋_GB2312" w:eastAsia="仿宋_GB2312" w:cs="仿宋_GB2312"/>
          <w:kern w:val="1"/>
          <w:sz w:val="32"/>
          <w:szCs w:val="32"/>
          <w:u w:val="none"/>
        </w:rPr>
        <w:t>《电动自行车产品质量国家监督抽查</w:t>
      </w:r>
      <w:r>
        <w:rPr>
          <w:rFonts w:hint="eastAsia" w:ascii="仿宋_GB2312" w:hAnsi="仿宋_GB2312" w:eastAsia="仿宋_GB2312" w:cs="仿宋_GB2312"/>
          <w:kern w:val="1"/>
          <w:sz w:val="32"/>
          <w:szCs w:val="32"/>
          <w:u w:val="none"/>
          <w:lang w:eastAsia="zh-CN"/>
        </w:rPr>
        <w:t>实施细则》</w:t>
      </w:r>
      <w:r>
        <w:rPr>
          <w:rFonts w:hint="eastAsia" w:ascii="仿宋_GB2312" w:hAnsi="仿宋_GB2312" w:eastAsia="仿宋_GB2312" w:cs="仿宋_GB2312"/>
          <w:kern w:val="1"/>
          <w:sz w:val="32"/>
          <w:szCs w:val="32"/>
          <w:u w:val="none"/>
          <w:lang w:val="en-US" w:eastAsia="zh-CN"/>
        </w:rPr>
        <w:t>文本的相关内容打印件，证明当事人涉案产品适用的判定依据是国家颁布的现行有效的标准</w:t>
      </w:r>
      <w:r>
        <w:rPr>
          <w:rFonts w:hint="eastAsia" w:ascii="仿宋_GB2312" w:hAnsi="仿宋_GB2312" w:eastAsia="仿宋_GB2312" w:cs="仿宋_GB2312"/>
          <w:kern w:val="1"/>
          <w:sz w:val="32"/>
          <w:szCs w:val="32"/>
          <w:u w:val="none"/>
        </w:rPr>
        <w:t xml:space="preserve">。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kern w:val="1"/>
          <w:sz w:val="32"/>
          <w:szCs w:val="32"/>
          <w:u w:val="none"/>
        </w:rPr>
      </w:pPr>
      <w:r>
        <w:rPr>
          <w:rFonts w:hint="eastAsia" w:ascii="仿宋_GB2312" w:hAnsi="仿宋_GB2312" w:eastAsia="仿宋_GB2312" w:cs="仿宋_GB2312"/>
          <w:kern w:val="1"/>
          <w:sz w:val="32"/>
          <w:szCs w:val="32"/>
          <w:u w:val="none"/>
          <w:lang w:val="en-US" w:eastAsia="zh-CN"/>
        </w:rPr>
        <w:t xml:space="preserve">    </w:t>
      </w:r>
      <w:r>
        <w:rPr>
          <w:rFonts w:hint="eastAsia" w:ascii="仿宋_GB2312" w:hAnsi="仿宋_GB2312" w:eastAsia="仿宋_GB2312" w:cs="仿宋_GB2312"/>
          <w:kern w:val="1"/>
          <w:sz w:val="32"/>
          <w:szCs w:val="32"/>
          <w:u w:val="none"/>
        </w:rPr>
        <w:t>4、202</w:t>
      </w:r>
      <w:r>
        <w:rPr>
          <w:rFonts w:hint="eastAsia" w:ascii="仿宋_GB2312" w:hAnsi="仿宋_GB2312" w:eastAsia="仿宋_GB2312" w:cs="仿宋_GB2312"/>
          <w:kern w:val="1"/>
          <w:sz w:val="32"/>
          <w:szCs w:val="32"/>
          <w:u w:val="none"/>
          <w:lang w:val="en-US" w:eastAsia="zh-CN"/>
        </w:rPr>
        <w:t>1</w:t>
      </w:r>
      <w:r>
        <w:rPr>
          <w:rFonts w:hint="eastAsia" w:ascii="仿宋_GB2312" w:hAnsi="仿宋_GB2312" w:eastAsia="仿宋_GB2312" w:cs="仿宋_GB2312"/>
          <w:kern w:val="1"/>
          <w:sz w:val="32"/>
          <w:szCs w:val="32"/>
          <w:u w:val="none"/>
        </w:rPr>
        <w:t>年</w:t>
      </w:r>
      <w:r>
        <w:rPr>
          <w:rFonts w:hint="eastAsia" w:ascii="仿宋_GB2312" w:hAnsi="仿宋_GB2312" w:eastAsia="仿宋_GB2312" w:cs="仿宋_GB2312"/>
          <w:kern w:val="1"/>
          <w:sz w:val="32"/>
          <w:szCs w:val="32"/>
          <w:u w:val="none"/>
          <w:lang w:val="en-US" w:eastAsia="zh-CN"/>
        </w:rPr>
        <w:t>11</w:t>
      </w:r>
      <w:r>
        <w:rPr>
          <w:rFonts w:hint="eastAsia" w:ascii="仿宋_GB2312" w:hAnsi="仿宋_GB2312" w:eastAsia="仿宋_GB2312" w:cs="仿宋_GB2312"/>
          <w:kern w:val="1"/>
          <w:sz w:val="32"/>
          <w:szCs w:val="32"/>
          <w:u w:val="none"/>
        </w:rPr>
        <w:t>月</w:t>
      </w:r>
      <w:r>
        <w:rPr>
          <w:rFonts w:hint="eastAsia" w:ascii="仿宋_GB2312" w:hAnsi="仿宋_GB2312" w:eastAsia="仿宋_GB2312" w:cs="仿宋_GB2312"/>
          <w:kern w:val="1"/>
          <w:sz w:val="32"/>
          <w:szCs w:val="32"/>
          <w:u w:val="none"/>
          <w:lang w:val="en-US" w:eastAsia="zh-CN"/>
        </w:rPr>
        <w:t>26</w:t>
      </w:r>
      <w:r>
        <w:rPr>
          <w:rFonts w:hint="eastAsia" w:ascii="仿宋_GB2312" w:hAnsi="仿宋_GB2312" w:eastAsia="仿宋_GB2312" w:cs="仿宋_GB2312"/>
          <w:kern w:val="1"/>
          <w:sz w:val="32"/>
          <w:szCs w:val="32"/>
          <w:u w:val="none"/>
        </w:rPr>
        <w:t>日对当事人</w:t>
      </w:r>
      <w:r>
        <w:rPr>
          <w:rFonts w:hint="eastAsia" w:ascii="仿宋_GB2312" w:hAnsi="仿宋_GB2312" w:eastAsia="仿宋_GB2312" w:cs="仿宋_GB2312"/>
          <w:kern w:val="1"/>
          <w:sz w:val="32"/>
          <w:szCs w:val="32"/>
          <w:u w:val="none"/>
          <w:lang w:eastAsia="zh-CN"/>
        </w:rPr>
        <w:t>法定代表人刘怀禹制作的询问笔录及</w:t>
      </w:r>
      <w:r>
        <w:rPr>
          <w:rFonts w:hint="eastAsia" w:ascii="仿宋_GB2312" w:hAnsi="仿宋_GB2312" w:eastAsia="仿宋_GB2312" w:cs="仿宋_GB2312"/>
          <w:kern w:val="1"/>
          <w:sz w:val="32"/>
          <w:szCs w:val="32"/>
          <w:u w:val="none"/>
          <w:lang w:val="en-US" w:eastAsia="zh-CN"/>
        </w:rPr>
        <w:t>2021年11月5日对当事人经营地现场的检查笔录</w:t>
      </w:r>
      <w:r>
        <w:rPr>
          <w:rFonts w:hint="eastAsia" w:ascii="仿宋_GB2312" w:hAnsi="仿宋_GB2312" w:eastAsia="仿宋_GB2312" w:cs="仿宋_GB2312"/>
          <w:kern w:val="1"/>
          <w:sz w:val="32"/>
          <w:szCs w:val="32"/>
          <w:u w:val="none"/>
          <w:lang w:eastAsia="zh-CN"/>
        </w:rPr>
        <w:t>，证明了当事人生产不符合保障人体健康和人身财产安全的国家标准</w:t>
      </w:r>
      <w:r>
        <w:rPr>
          <w:rFonts w:hint="eastAsia" w:ascii="仿宋_GB2312" w:hAnsi="仿宋_GB2312" w:eastAsia="仿宋_GB2312" w:cs="仿宋_GB2312"/>
          <w:kern w:val="1"/>
          <w:sz w:val="32"/>
          <w:szCs w:val="32"/>
          <w:u w:val="none"/>
        </w:rPr>
        <w:t>的</w:t>
      </w:r>
      <w:r>
        <w:rPr>
          <w:rFonts w:hint="eastAsia" w:ascii="仿宋_GB2312" w:hAnsi="仿宋_GB2312" w:eastAsia="仿宋_GB2312" w:cs="仿宋_GB2312"/>
          <w:kern w:val="1"/>
          <w:sz w:val="32"/>
          <w:szCs w:val="32"/>
          <w:u w:val="none"/>
          <w:lang w:eastAsia="zh-CN"/>
        </w:rPr>
        <w:t>电动自行车的</w:t>
      </w:r>
      <w:r>
        <w:rPr>
          <w:rFonts w:hint="eastAsia" w:ascii="仿宋_GB2312" w:hAnsi="仿宋_GB2312" w:eastAsia="仿宋_GB2312" w:cs="仿宋_GB2312"/>
          <w:kern w:val="1"/>
          <w:sz w:val="32"/>
          <w:szCs w:val="32"/>
          <w:u w:val="none"/>
        </w:rPr>
        <w:t>事实情节。</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kern w:val="1"/>
          <w:sz w:val="32"/>
          <w:szCs w:val="32"/>
          <w:u w:val="none"/>
        </w:rPr>
      </w:pPr>
      <w:r>
        <w:rPr>
          <w:rFonts w:hint="eastAsia" w:ascii="仿宋_GB2312" w:hAnsi="仿宋_GB2312" w:eastAsia="仿宋_GB2312" w:cs="仿宋_GB2312"/>
          <w:kern w:val="1"/>
          <w:sz w:val="32"/>
          <w:szCs w:val="32"/>
          <w:u w:val="none"/>
          <w:lang w:val="en-US" w:eastAsia="zh-CN"/>
        </w:rPr>
        <w:t xml:space="preserve">    </w:t>
      </w:r>
      <w:r>
        <w:rPr>
          <w:rFonts w:hint="eastAsia" w:ascii="仿宋_GB2312" w:hAnsi="仿宋_GB2312" w:eastAsia="仿宋_GB2312" w:cs="仿宋_GB2312"/>
          <w:kern w:val="1"/>
          <w:sz w:val="32"/>
          <w:szCs w:val="32"/>
          <w:u w:val="none"/>
        </w:rPr>
        <w:t>5、</w:t>
      </w:r>
      <w:r>
        <w:rPr>
          <w:rFonts w:hint="eastAsia" w:ascii="仿宋_GB2312" w:hAnsi="仿宋_GB2312" w:eastAsia="仿宋_GB2312" w:cs="仿宋_GB2312"/>
          <w:kern w:val="1"/>
          <w:sz w:val="32"/>
          <w:szCs w:val="32"/>
          <w:u w:val="none"/>
          <w:lang w:eastAsia="zh-CN"/>
        </w:rPr>
        <w:t>当事人提供的生产计划单、成本配置单、情况说明及货值金额和违法所得</w:t>
      </w:r>
      <w:r>
        <w:rPr>
          <w:rFonts w:hint="eastAsia" w:ascii="仿宋_GB2312" w:hAnsi="仿宋_GB2312" w:eastAsia="仿宋_GB2312" w:cs="仿宋_GB2312"/>
          <w:kern w:val="1"/>
          <w:sz w:val="32"/>
          <w:szCs w:val="32"/>
          <w:u w:val="none"/>
        </w:rPr>
        <w:t>计算</w:t>
      </w:r>
      <w:r>
        <w:rPr>
          <w:rFonts w:hint="eastAsia" w:ascii="仿宋_GB2312" w:hAnsi="仿宋_GB2312" w:eastAsia="仿宋_GB2312" w:cs="仿宋_GB2312"/>
          <w:kern w:val="1"/>
          <w:sz w:val="32"/>
          <w:szCs w:val="32"/>
          <w:u w:val="none"/>
          <w:lang w:eastAsia="zh-CN"/>
        </w:rPr>
        <w:t>打印件</w:t>
      </w:r>
      <w:r>
        <w:rPr>
          <w:rFonts w:hint="eastAsia" w:ascii="仿宋_GB2312" w:hAnsi="仿宋_GB2312" w:eastAsia="仿宋_GB2312" w:cs="仿宋_GB2312"/>
          <w:kern w:val="1"/>
          <w:sz w:val="32"/>
          <w:szCs w:val="32"/>
          <w:u w:val="none"/>
        </w:rPr>
        <w:t>，证明了当事人</w:t>
      </w:r>
      <w:r>
        <w:rPr>
          <w:rFonts w:hint="eastAsia" w:ascii="仿宋_GB2312" w:hAnsi="仿宋_GB2312" w:eastAsia="仿宋_GB2312" w:cs="仿宋_GB2312"/>
          <w:kern w:val="1"/>
          <w:sz w:val="32"/>
          <w:szCs w:val="32"/>
          <w:u w:val="none"/>
          <w:lang w:eastAsia="zh-CN"/>
        </w:rPr>
        <w:t>涉案产品数量、货值金额和违法所得</w:t>
      </w:r>
      <w:r>
        <w:rPr>
          <w:rFonts w:hint="eastAsia" w:ascii="仿宋_GB2312" w:hAnsi="仿宋_GB2312" w:eastAsia="仿宋_GB2312" w:cs="仿宋_GB2312"/>
          <w:kern w:val="1"/>
          <w:sz w:val="32"/>
          <w:szCs w:val="32"/>
          <w:u w:val="none"/>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kern w:val="1"/>
          <w:sz w:val="32"/>
          <w:szCs w:val="32"/>
          <w:u w:val="none"/>
          <w:lang w:eastAsia="zh-CN"/>
        </w:rPr>
      </w:pPr>
      <w:r>
        <w:rPr>
          <w:rFonts w:hint="eastAsia" w:ascii="仿宋_GB2312" w:hAnsi="仿宋_GB2312" w:eastAsia="仿宋_GB2312" w:cs="仿宋_GB2312"/>
          <w:kern w:val="1"/>
          <w:sz w:val="32"/>
          <w:szCs w:val="32"/>
          <w:u w:val="none"/>
          <w:lang w:val="en-US" w:eastAsia="zh-CN"/>
        </w:rPr>
        <w:t xml:space="preserve">    </w:t>
      </w:r>
      <w:r>
        <w:rPr>
          <w:rFonts w:hint="eastAsia" w:ascii="仿宋_GB2312" w:hAnsi="仿宋_GB2312" w:eastAsia="仿宋_GB2312" w:cs="仿宋_GB2312"/>
          <w:kern w:val="1"/>
          <w:sz w:val="32"/>
          <w:szCs w:val="32"/>
          <w:u w:val="none"/>
        </w:rPr>
        <w:t>6、</w:t>
      </w:r>
      <w:r>
        <w:rPr>
          <w:rFonts w:hint="eastAsia" w:ascii="仿宋_GB2312" w:hAnsi="仿宋_GB2312" w:eastAsia="仿宋_GB2312" w:cs="仿宋_GB2312"/>
          <w:kern w:val="1"/>
          <w:sz w:val="32"/>
          <w:szCs w:val="32"/>
          <w:u w:val="none"/>
          <w:lang w:eastAsia="zh-CN"/>
        </w:rPr>
        <w:t>当事人提供的整改报告，证明了当事人积极整改违法行为的态度。</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kern w:val="1"/>
          <w:sz w:val="32"/>
          <w:szCs w:val="32"/>
          <w:u w:val="none"/>
        </w:rPr>
      </w:pPr>
      <w:r>
        <w:rPr>
          <w:rFonts w:hint="eastAsia" w:ascii="仿宋_GB2312" w:hAnsi="仿宋_GB2312" w:eastAsia="仿宋_GB2312" w:cs="仿宋_GB2312"/>
          <w:kern w:val="1"/>
          <w:sz w:val="32"/>
          <w:szCs w:val="32"/>
          <w:u w:val="none"/>
          <w:lang w:val="en-US" w:eastAsia="zh-CN"/>
        </w:rPr>
        <w:t xml:space="preserve">    </w:t>
      </w:r>
      <w:r>
        <w:rPr>
          <w:rFonts w:hint="eastAsia" w:ascii="仿宋_GB2312" w:hAnsi="仿宋_GB2312" w:eastAsia="仿宋_GB2312" w:cs="仿宋_GB2312"/>
          <w:kern w:val="1"/>
          <w:sz w:val="32"/>
          <w:szCs w:val="32"/>
          <w:u w:val="none"/>
        </w:rPr>
        <w:t>本局于202</w:t>
      </w:r>
      <w:r>
        <w:rPr>
          <w:rFonts w:hint="eastAsia" w:ascii="仿宋_GB2312" w:hAnsi="仿宋_GB2312" w:eastAsia="仿宋_GB2312" w:cs="仿宋_GB2312"/>
          <w:kern w:val="1"/>
          <w:sz w:val="32"/>
          <w:szCs w:val="32"/>
          <w:u w:val="none"/>
          <w:lang w:val="en-US" w:eastAsia="zh-CN"/>
        </w:rPr>
        <w:t>2</w:t>
      </w:r>
      <w:r>
        <w:rPr>
          <w:rFonts w:hint="eastAsia" w:ascii="仿宋_GB2312" w:hAnsi="仿宋_GB2312" w:eastAsia="仿宋_GB2312" w:cs="仿宋_GB2312"/>
          <w:kern w:val="1"/>
          <w:sz w:val="32"/>
          <w:szCs w:val="32"/>
          <w:u w:val="none"/>
        </w:rPr>
        <w:t>年</w:t>
      </w:r>
      <w:r>
        <w:rPr>
          <w:rFonts w:hint="eastAsia" w:ascii="仿宋_GB2312" w:hAnsi="仿宋_GB2312" w:eastAsia="仿宋_GB2312" w:cs="仿宋_GB2312"/>
          <w:kern w:val="1"/>
          <w:sz w:val="32"/>
          <w:szCs w:val="32"/>
          <w:u w:val="none"/>
          <w:lang w:val="en-US" w:eastAsia="zh-CN"/>
        </w:rPr>
        <w:t>1</w:t>
      </w:r>
      <w:r>
        <w:rPr>
          <w:rFonts w:hint="eastAsia" w:ascii="仿宋_GB2312" w:hAnsi="仿宋_GB2312" w:eastAsia="仿宋_GB2312" w:cs="仿宋_GB2312"/>
          <w:kern w:val="1"/>
          <w:sz w:val="32"/>
          <w:szCs w:val="32"/>
          <w:u w:val="none"/>
        </w:rPr>
        <w:t>月</w:t>
      </w:r>
      <w:r>
        <w:rPr>
          <w:rFonts w:hint="eastAsia" w:ascii="仿宋_GB2312" w:hAnsi="仿宋_GB2312" w:eastAsia="仿宋_GB2312" w:cs="仿宋_GB2312"/>
          <w:kern w:val="1"/>
          <w:sz w:val="32"/>
          <w:szCs w:val="32"/>
          <w:u w:val="none"/>
          <w:lang w:val="en-US" w:eastAsia="zh-CN"/>
        </w:rPr>
        <w:t>17</w:t>
      </w:r>
      <w:r>
        <w:rPr>
          <w:rFonts w:hint="eastAsia" w:ascii="仿宋_GB2312" w:hAnsi="仿宋_GB2312" w:eastAsia="仿宋_GB2312" w:cs="仿宋_GB2312"/>
          <w:kern w:val="1"/>
          <w:sz w:val="32"/>
          <w:szCs w:val="32"/>
          <w:u w:val="none"/>
        </w:rPr>
        <w:t>日依法向当事人送达了《行政处罚告知书》（津辰市监</w:t>
      </w:r>
      <w:r>
        <w:rPr>
          <w:rFonts w:hint="eastAsia" w:ascii="仿宋_GB2312" w:hAnsi="仿宋_GB2312" w:eastAsia="仿宋_GB2312" w:cs="仿宋_GB2312"/>
          <w:kern w:val="1"/>
          <w:sz w:val="32"/>
          <w:szCs w:val="32"/>
          <w:u w:val="none"/>
          <w:lang w:eastAsia="zh-CN"/>
        </w:rPr>
        <w:t>综</w:t>
      </w:r>
      <w:r>
        <w:rPr>
          <w:rFonts w:hint="eastAsia" w:ascii="仿宋_GB2312" w:hAnsi="仿宋_GB2312" w:eastAsia="仿宋_GB2312" w:cs="仿宋_GB2312"/>
          <w:kern w:val="1"/>
          <w:sz w:val="32"/>
          <w:szCs w:val="32"/>
          <w:u w:val="none"/>
        </w:rPr>
        <w:t>罚告〔202</w:t>
      </w:r>
      <w:r>
        <w:rPr>
          <w:rFonts w:hint="eastAsia" w:ascii="仿宋_GB2312" w:hAnsi="仿宋_GB2312" w:eastAsia="仿宋_GB2312" w:cs="仿宋_GB2312"/>
          <w:kern w:val="1"/>
          <w:sz w:val="32"/>
          <w:szCs w:val="32"/>
          <w:u w:val="none"/>
          <w:lang w:val="en-US" w:eastAsia="zh-CN"/>
        </w:rPr>
        <w:t>1</w:t>
      </w:r>
      <w:r>
        <w:rPr>
          <w:rFonts w:hint="eastAsia" w:ascii="仿宋_GB2312" w:hAnsi="仿宋_GB2312" w:eastAsia="仿宋_GB2312" w:cs="仿宋_GB2312"/>
          <w:kern w:val="1"/>
          <w:sz w:val="32"/>
          <w:szCs w:val="32"/>
          <w:u w:val="none"/>
        </w:rPr>
        <w:t>〕</w:t>
      </w:r>
      <w:r>
        <w:rPr>
          <w:rFonts w:hint="eastAsia" w:ascii="仿宋_GB2312" w:hAnsi="仿宋_GB2312" w:eastAsia="仿宋_GB2312" w:cs="仿宋_GB2312"/>
          <w:kern w:val="1"/>
          <w:sz w:val="32"/>
          <w:szCs w:val="32"/>
          <w:u w:val="none"/>
          <w:lang w:val="en-US" w:eastAsia="zh-CN"/>
        </w:rPr>
        <w:t>205</w:t>
      </w:r>
      <w:r>
        <w:rPr>
          <w:rFonts w:hint="eastAsia" w:ascii="仿宋_GB2312" w:hAnsi="仿宋_GB2312" w:eastAsia="仿宋_GB2312" w:cs="仿宋_GB2312"/>
          <w:kern w:val="1"/>
          <w:sz w:val="32"/>
          <w:szCs w:val="32"/>
          <w:u w:val="none"/>
        </w:rPr>
        <w:t xml:space="preserve">号），当事人未提出陈述、申辩意见。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kern w:val="1"/>
          <w:sz w:val="32"/>
          <w:szCs w:val="32"/>
          <w:u w:val="none"/>
        </w:rPr>
      </w:pPr>
      <w:r>
        <w:rPr>
          <w:rFonts w:hint="eastAsia" w:ascii="仿宋_GB2312" w:hAnsi="仿宋_GB2312" w:eastAsia="仿宋_GB2312" w:cs="仿宋_GB2312"/>
          <w:kern w:val="1"/>
          <w:sz w:val="32"/>
          <w:szCs w:val="32"/>
          <w:u w:val="none"/>
          <w:lang w:val="en-US" w:eastAsia="zh-CN"/>
        </w:rPr>
        <w:t xml:space="preserve">    </w:t>
      </w:r>
      <w:r>
        <w:rPr>
          <w:rFonts w:hint="eastAsia" w:ascii="仿宋_GB2312" w:hAnsi="仿宋_GB2312" w:eastAsia="仿宋_GB2312" w:cs="仿宋_GB2312"/>
          <w:kern w:val="1"/>
          <w:sz w:val="32"/>
          <w:szCs w:val="32"/>
          <w:u w:val="none"/>
        </w:rPr>
        <w:t>案件性质：</w:t>
      </w:r>
      <w:r>
        <w:rPr>
          <w:rFonts w:hint="eastAsia" w:ascii="仿宋_GB2312" w:hAnsi="仿宋_GB2312" w:eastAsia="仿宋_GB2312" w:cs="仿宋_GB2312"/>
          <w:kern w:val="1"/>
          <w:sz w:val="32"/>
          <w:szCs w:val="32"/>
          <w:u w:val="none"/>
          <w:lang w:eastAsia="zh-CN"/>
        </w:rPr>
        <w:t>本局认为，</w:t>
      </w:r>
      <w:r>
        <w:rPr>
          <w:rFonts w:hint="eastAsia" w:ascii="仿宋_GB2312" w:hAnsi="仿宋_GB2312" w:eastAsia="仿宋_GB2312" w:cs="仿宋_GB2312"/>
          <w:kern w:val="1"/>
          <w:sz w:val="32"/>
          <w:szCs w:val="32"/>
          <w:u w:val="none"/>
        </w:rPr>
        <w:t>当事人的行为构成了《中华人民共和国</w:t>
      </w:r>
      <w:r>
        <w:rPr>
          <w:rFonts w:hint="eastAsia" w:ascii="仿宋_GB2312" w:hAnsi="仿宋_GB2312" w:eastAsia="仿宋_GB2312" w:cs="仿宋_GB2312"/>
          <w:kern w:val="1"/>
          <w:sz w:val="32"/>
          <w:szCs w:val="32"/>
          <w:u w:val="none"/>
          <w:lang w:eastAsia="zh-CN"/>
        </w:rPr>
        <w:t>产品质量法</w:t>
      </w:r>
      <w:r>
        <w:rPr>
          <w:rFonts w:hint="eastAsia" w:ascii="仿宋_GB2312" w:hAnsi="仿宋_GB2312" w:eastAsia="仿宋_GB2312" w:cs="仿宋_GB2312"/>
          <w:kern w:val="1"/>
          <w:sz w:val="32"/>
          <w:szCs w:val="32"/>
          <w:u w:val="none"/>
        </w:rPr>
        <w:t>》第</w:t>
      </w:r>
      <w:r>
        <w:rPr>
          <w:rFonts w:hint="eastAsia" w:ascii="仿宋_GB2312" w:hAnsi="仿宋_GB2312" w:eastAsia="仿宋_GB2312" w:cs="仿宋_GB2312"/>
          <w:kern w:val="1"/>
          <w:sz w:val="32"/>
          <w:szCs w:val="32"/>
          <w:u w:val="none"/>
          <w:lang w:eastAsia="zh-CN"/>
        </w:rPr>
        <w:t>十三</w:t>
      </w:r>
      <w:r>
        <w:rPr>
          <w:rFonts w:hint="eastAsia" w:ascii="仿宋_GB2312" w:hAnsi="仿宋_GB2312" w:eastAsia="仿宋_GB2312" w:cs="仿宋_GB2312"/>
          <w:kern w:val="1"/>
          <w:sz w:val="32"/>
          <w:szCs w:val="32"/>
          <w:u w:val="none"/>
        </w:rPr>
        <w:t>条第</w:t>
      </w:r>
      <w:r>
        <w:rPr>
          <w:rFonts w:hint="eastAsia" w:ascii="仿宋_GB2312" w:hAnsi="仿宋_GB2312" w:eastAsia="仿宋_GB2312" w:cs="仿宋_GB2312"/>
          <w:kern w:val="1"/>
          <w:sz w:val="32"/>
          <w:szCs w:val="32"/>
          <w:u w:val="none"/>
          <w:lang w:eastAsia="zh-CN"/>
        </w:rPr>
        <w:t>二款</w:t>
      </w:r>
      <w:r>
        <w:rPr>
          <w:rFonts w:hint="eastAsia" w:ascii="仿宋_GB2312" w:hAnsi="仿宋_GB2312" w:eastAsia="仿宋_GB2312" w:cs="仿宋_GB2312"/>
          <w:kern w:val="1"/>
          <w:sz w:val="32"/>
          <w:szCs w:val="32"/>
          <w:u w:val="none"/>
        </w:rPr>
        <w:t>“</w:t>
      </w:r>
      <w:r>
        <w:rPr>
          <w:rFonts w:hint="eastAsia" w:ascii="仿宋_GB2312" w:hAnsi="仿宋_GB2312" w:eastAsia="仿宋_GB2312" w:cs="仿宋_GB2312"/>
          <w:kern w:val="1"/>
          <w:sz w:val="32"/>
          <w:szCs w:val="32"/>
          <w:u w:val="none"/>
          <w:lang w:eastAsia="zh-CN"/>
        </w:rPr>
        <w:t>禁止生产、销售不符合保障人体健康和人身、财产安全的标准和要求的工业产品。具体管理办法由国务院规定。</w:t>
      </w:r>
      <w:r>
        <w:rPr>
          <w:rFonts w:hint="eastAsia" w:ascii="仿宋_GB2312" w:hAnsi="仿宋_GB2312" w:eastAsia="仿宋_GB2312" w:cs="仿宋_GB2312"/>
          <w:kern w:val="1"/>
          <w:sz w:val="32"/>
          <w:szCs w:val="32"/>
          <w:u w:val="none"/>
        </w:rPr>
        <w:t>”</w:t>
      </w:r>
      <w:r>
        <w:rPr>
          <w:rFonts w:hint="eastAsia" w:ascii="仿宋_GB2312" w:hAnsi="仿宋_GB2312" w:eastAsia="仿宋_GB2312" w:cs="仿宋_GB2312"/>
          <w:kern w:val="1"/>
          <w:sz w:val="32"/>
          <w:szCs w:val="32"/>
          <w:u w:val="none"/>
          <w:lang w:eastAsia="zh-CN"/>
        </w:rPr>
        <w:t>和第二十六条第二款第一项“产品质量应当符合下列要求：（一）不存在危及人身、财产安全的不合理的危险，有保障人体健康和人身、财产安全的国家标准、行业标准的，应当符合该标准”的规定</w:t>
      </w:r>
      <w:r>
        <w:rPr>
          <w:rFonts w:hint="eastAsia" w:ascii="仿宋_GB2312" w:hAnsi="仿宋_GB2312" w:eastAsia="仿宋_GB2312" w:cs="仿宋_GB2312"/>
          <w:kern w:val="1"/>
          <w:sz w:val="32"/>
          <w:szCs w:val="32"/>
          <w:u w:val="none"/>
        </w:rPr>
        <w:t>所指的违法行为。</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kern w:val="1"/>
          <w:sz w:val="32"/>
          <w:szCs w:val="32"/>
          <w:u w:val="none"/>
        </w:rPr>
      </w:pPr>
      <w:r>
        <w:rPr>
          <w:rFonts w:hint="eastAsia" w:ascii="仿宋_GB2312" w:hAnsi="仿宋_GB2312" w:eastAsia="仿宋_GB2312" w:cs="仿宋_GB2312"/>
          <w:kern w:val="1"/>
          <w:sz w:val="32"/>
          <w:szCs w:val="32"/>
          <w:u w:val="none"/>
          <w:lang w:val="en-US" w:eastAsia="zh-CN"/>
        </w:rPr>
        <w:t xml:space="preserve">    </w:t>
      </w:r>
      <w:r>
        <w:rPr>
          <w:rFonts w:hint="eastAsia" w:ascii="仿宋_GB2312" w:hAnsi="仿宋_GB2312" w:eastAsia="仿宋_GB2312" w:cs="仿宋_GB2312"/>
          <w:kern w:val="1"/>
          <w:sz w:val="32"/>
          <w:szCs w:val="32"/>
          <w:u w:val="none"/>
        </w:rPr>
        <w:t>自由裁量理由等其他需要说明的事项：</w:t>
      </w:r>
      <w:r>
        <w:rPr>
          <w:rFonts w:hint="eastAsia" w:ascii="仿宋_GB2312" w:hAnsi="仿宋_GB2312" w:eastAsia="仿宋_GB2312" w:cs="仿宋_GB2312"/>
          <w:kern w:val="1"/>
          <w:sz w:val="32"/>
          <w:szCs w:val="32"/>
          <w:u w:val="none"/>
          <w:lang w:eastAsia="zh-CN"/>
        </w:rPr>
        <w:t>当事人生产的产品未销售，且收到不合格检验报告后主动把不合格产品拆解消除危害后果，</w:t>
      </w:r>
      <w:r>
        <w:rPr>
          <w:rFonts w:hint="eastAsia" w:ascii="仿宋_GB2312" w:hAnsi="仿宋_GB2312" w:eastAsia="仿宋_GB2312" w:cs="仿宋_GB2312"/>
          <w:kern w:val="1"/>
          <w:sz w:val="32"/>
          <w:szCs w:val="32"/>
          <w:u w:val="none"/>
        </w:rPr>
        <w:t>本案调查过程中当事人积极配合执法人员调查</w:t>
      </w:r>
      <w:r>
        <w:rPr>
          <w:rFonts w:hint="eastAsia" w:ascii="仿宋_GB2312" w:hAnsi="仿宋_GB2312" w:eastAsia="仿宋_GB2312" w:cs="仿宋_GB2312"/>
          <w:kern w:val="1"/>
          <w:sz w:val="32"/>
          <w:szCs w:val="32"/>
          <w:u w:val="none"/>
          <w:lang w:eastAsia="zh-CN"/>
        </w:rPr>
        <w:t>，依据《市场监管总局关于规范市场监督管理行政处罚裁量权的指导意见》第七条第三款第一项规定的规定予以从轻处罚。</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仿宋_GB2312" w:hAnsi="仿宋_GB2312" w:eastAsia="仿宋_GB2312" w:cs="仿宋_GB2312"/>
          <w:kern w:val="1"/>
          <w:sz w:val="32"/>
          <w:szCs w:val="32"/>
          <w:u w:val="none"/>
          <w:lang w:val="en-US" w:eastAsia="zh-CN"/>
        </w:rPr>
      </w:pPr>
      <w:r>
        <w:rPr>
          <w:rFonts w:hint="eastAsia" w:ascii="仿宋_GB2312" w:hAnsi="仿宋_GB2312" w:eastAsia="仿宋_GB2312" w:cs="仿宋_GB2312"/>
          <w:kern w:val="1"/>
          <w:sz w:val="32"/>
          <w:szCs w:val="32"/>
          <w:u w:val="none"/>
          <w:lang w:val="en-US" w:eastAsia="zh-CN"/>
        </w:rPr>
        <w:t xml:space="preserve">    </w:t>
      </w:r>
      <w:r>
        <w:rPr>
          <w:rFonts w:hint="eastAsia" w:ascii="仿宋_GB2312" w:hAnsi="仿宋_GB2312" w:eastAsia="仿宋_GB2312" w:cs="仿宋_GB2312"/>
          <w:kern w:val="1"/>
          <w:sz w:val="32"/>
          <w:szCs w:val="32"/>
          <w:u w:val="none"/>
        </w:rPr>
        <w:t>处理意见及依据：依据《中华人民共和国</w:t>
      </w:r>
      <w:r>
        <w:rPr>
          <w:rFonts w:hint="eastAsia" w:ascii="仿宋_GB2312" w:hAnsi="仿宋_GB2312" w:eastAsia="仿宋_GB2312" w:cs="仿宋_GB2312"/>
          <w:kern w:val="1"/>
          <w:sz w:val="32"/>
          <w:szCs w:val="32"/>
          <w:u w:val="none"/>
          <w:lang w:eastAsia="zh-CN"/>
        </w:rPr>
        <w:t>产品质量法</w:t>
      </w:r>
      <w:r>
        <w:rPr>
          <w:rFonts w:hint="eastAsia" w:ascii="仿宋_GB2312" w:hAnsi="仿宋_GB2312" w:eastAsia="仿宋_GB2312" w:cs="仿宋_GB2312"/>
          <w:kern w:val="1"/>
          <w:sz w:val="32"/>
          <w:szCs w:val="32"/>
          <w:u w:val="none"/>
        </w:rPr>
        <w:t>》第</w:t>
      </w:r>
      <w:r>
        <w:rPr>
          <w:rFonts w:hint="eastAsia" w:ascii="仿宋_GB2312" w:hAnsi="仿宋_GB2312" w:eastAsia="仿宋_GB2312" w:cs="仿宋_GB2312"/>
          <w:kern w:val="1"/>
          <w:sz w:val="32"/>
          <w:szCs w:val="32"/>
          <w:u w:val="none"/>
          <w:lang w:eastAsia="zh-CN"/>
        </w:rPr>
        <w:t>四十九条</w:t>
      </w:r>
      <w:r>
        <w:rPr>
          <w:rFonts w:hint="eastAsia" w:ascii="仿宋_GB2312" w:hAnsi="仿宋_GB2312" w:eastAsia="仿宋_GB2312" w:cs="仿宋_GB2312"/>
          <w:kern w:val="1"/>
          <w:sz w:val="32"/>
          <w:szCs w:val="32"/>
          <w:u w:val="none"/>
        </w:rPr>
        <w:t>“</w:t>
      </w:r>
      <w:r>
        <w:rPr>
          <w:rFonts w:hint="eastAsia" w:ascii="仿宋_GB2312" w:hAnsi="仿宋_GB2312" w:eastAsia="仿宋_GB2312" w:cs="仿宋_GB2312"/>
          <w:kern w:val="1"/>
          <w:sz w:val="32"/>
          <w:szCs w:val="32"/>
          <w:u w:val="none"/>
          <w:lang w:eastAsia="zh-CN"/>
        </w:rPr>
        <w:t>生产、销售不符合保障人体健康和人身、财产安全的国家标准、行业标准的产品的</w:t>
      </w:r>
      <w:r>
        <w:rPr>
          <w:rFonts w:hint="eastAsia" w:ascii="仿宋_GB2312" w:hAnsi="仿宋_GB2312" w:eastAsia="仿宋_GB2312" w:cs="仿宋_GB2312"/>
          <w:kern w:val="1"/>
          <w:sz w:val="32"/>
          <w:szCs w:val="32"/>
          <w:u w:val="none"/>
        </w:rPr>
        <w:t>，责令停止</w:t>
      </w:r>
      <w:r>
        <w:rPr>
          <w:rFonts w:hint="eastAsia" w:ascii="仿宋_GB2312" w:hAnsi="仿宋_GB2312" w:eastAsia="仿宋_GB2312" w:cs="仿宋_GB2312"/>
          <w:kern w:val="1"/>
          <w:sz w:val="32"/>
          <w:szCs w:val="32"/>
          <w:u w:val="none"/>
          <w:lang w:eastAsia="zh-CN"/>
        </w:rPr>
        <w:t>生产、销售，没收违法生产、销售的产品，并处违法生产、销售产品（包括已售出和未售出的产品，下同）货值金额等值以上三倍以下的罚款；有违法所得的，并处没收违法所得；情节严重的吊销营业执照；构成犯罪的，依法追究刑事责任。”的规定，责令当事人停止生产销售不符合保障人体健康和人身财产安全的国家标准</w:t>
      </w:r>
      <w:r>
        <w:rPr>
          <w:rFonts w:hint="eastAsia" w:ascii="仿宋_GB2312" w:hAnsi="仿宋_GB2312" w:eastAsia="仿宋_GB2312" w:cs="仿宋_GB2312"/>
          <w:kern w:val="1"/>
          <w:sz w:val="32"/>
          <w:szCs w:val="32"/>
          <w:u w:val="none"/>
        </w:rPr>
        <w:t>的</w:t>
      </w:r>
      <w:r>
        <w:rPr>
          <w:rFonts w:hint="eastAsia" w:ascii="仿宋_GB2312" w:hAnsi="仿宋_GB2312" w:eastAsia="仿宋_GB2312" w:cs="仿宋_GB2312"/>
          <w:kern w:val="1"/>
          <w:sz w:val="32"/>
          <w:szCs w:val="32"/>
          <w:u w:val="none"/>
          <w:lang w:eastAsia="zh-CN"/>
        </w:rPr>
        <w:t>电动自行车的</w:t>
      </w:r>
      <w:r>
        <w:rPr>
          <w:rFonts w:hint="eastAsia" w:ascii="仿宋_GB2312" w:hAnsi="仿宋_GB2312" w:eastAsia="仿宋_GB2312" w:cs="仿宋_GB2312"/>
          <w:kern w:val="1"/>
          <w:sz w:val="32"/>
          <w:szCs w:val="32"/>
          <w:u w:val="none"/>
        </w:rPr>
        <w:t>行为</w:t>
      </w:r>
      <w:r>
        <w:rPr>
          <w:rFonts w:hint="eastAsia" w:ascii="仿宋_GB2312" w:hAnsi="仿宋_GB2312" w:eastAsia="仿宋_GB2312" w:cs="仿宋_GB2312"/>
          <w:kern w:val="1"/>
          <w:sz w:val="32"/>
          <w:szCs w:val="32"/>
          <w:u w:val="none"/>
          <w:lang w:eastAsia="zh-CN"/>
        </w:rPr>
        <w:t>，</w:t>
      </w:r>
      <w:r>
        <w:rPr>
          <w:rFonts w:hint="eastAsia" w:ascii="仿宋_GB2312" w:hAnsi="仿宋_GB2312" w:eastAsia="仿宋_GB2312" w:cs="仿宋_GB2312"/>
          <w:kern w:val="1"/>
          <w:sz w:val="32"/>
          <w:szCs w:val="32"/>
          <w:u w:val="none"/>
        </w:rPr>
        <w:t>并对当事人给予以下行政处罚：</w:t>
      </w:r>
      <w:r>
        <w:rPr>
          <w:rFonts w:hint="eastAsia" w:ascii="仿宋_GB2312" w:hAnsi="仿宋_GB2312" w:eastAsia="仿宋_GB2312" w:cs="仿宋_GB2312"/>
          <w:kern w:val="1"/>
          <w:sz w:val="32"/>
          <w:szCs w:val="32"/>
          <w:u w:val="none"/>
          <w:lang w:eastAsia="zh-CN"/>
        </w:rPr>
        <w:t>处违法生产产品货值金额等值的罚款</w:t>
      </w:r>
      <w:r>
        <w:rPr>
          <w:rFonts w:hint="eastAsia" w:ascii="仿宋_GB2312" w:hAnsi="仿宋_GB2312" w:eastAsia="仿宋_GB2312" w:cs="仿宋_GB2312"/>
          <w:kern w:val="1"/>
          <w:sz w:val="32"/>
          <w:szCs w:val="32"/>
          <w:u w:val="none"/>
          <w:lang w:val="en-US" w:eastAsia="zh-CN"/>
        </w:rPr>
        <w:t>6765元.</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kern w:val="1"/>
          <w:sz w:val="32"/>
          <w:szCs w:val="32"/>
          <w:u w:val="none"/>
        </w:rPr>
      </w:pPr>
      <w:r>
        <w:rPr>
          <w:rFonts w:hint="eastAsia" w:ascii="仿宋_GB2312" w:hAnsi="仿宋_GB2312" w:eastAsia="仿宋_GB2312" w:cs="仿宋_GB2312"/>
          <w:kern w:val="1"/>
          <w:sz w:val="32"/>
          <w:szCs w:val="32"/>
          <w:u w:val="none"/>
          <w:lang w:val="en-US" w:eastAsia="zh-CN"/>
        </w:rPr>
        <w:t xml:space="preserve">    </w:t>
      </w:r>
      <w:r>
        <w:rPr>
          <w:rFonts w:hint="eastAsia" w:ascii="仿宋_GB2312" w:hAnsi="仿宋_GB2312" w:eastAsia="仿宋_GB2312" w:cs="仿宋_GB2312"/>
          <w:kern w:val="1"/>
          <w:sz w:val="32"/>
          <w:szCs w:val="32"/>
          <w:u w:val="none"/>
        </w:rPr>
        <w:t>当事人应当自收到本行政处罚决定书之日起十五日内，将罚没款缴至中国工商银行天津分行、中国银行天津分行、中国农业银行天津分行、中国建设银行天津分行、天津银行、中国光大银行天津分行、浙商银行天津分行等市财政指定非税收入收缴银行对公网点。到期不缴纳罚款的，依据《中华人民共和国行政处罚法》第</w:t>
      </w:r>
      <w:r>
        <w:rPr>
          <w:rFonts w:hint="eastAsia" w:ascii="仿宋_GB2312" w:hAnsi="仿宋_GB2312" w:eastAsia="仿宋_GB2312" w:cs="仿宋_GB2312"/>
          <w:kern w:val="1"/>
          <w:sz w:val="32"/>
          <w:szCs w:val="32"/>
          <w:u w:val="none"/>
          <w:lang w:eastAsia="zh-CN"/>
        </w:rPr>
        <w:t>七十二</w:t>
      </w:r>
      <w:r>
        <w:rPr>
          <w:rFonts w:hint="eastAsia" w:ascii="仿宋_GB2312" w:hAnsi="仿宋_GB2312" w:eastAsia="仿宋_GB2312" w:cs="仿宋_GB2312"/>
          <w:kern w:val="1"/>
          <w:sz w:val="32"/>
          <w:szCs w:val="32"/>
          <w:u w:val="none"/>
        </w:rPr>
        <w:t>条</w:t>
      </w:r>
      <w:r>
        <w:rPr>
          <w:rFonts w:hint="eastAsia" w:ascii="仿宋_GB2312" w:hAnsi="仿宋_GB2312" w:eastAsia="仿宋_GB2312" w:cs="仿宋_GB2312"/>
          <w:kern w:val="1"/>
          <w:sz w:val="32"/>
          <w:szCs w:val="32"/>
          <w:u w:val="none"/>
          <w:lang w:eastAsia="zh-CN"/>
        </w:rPr>
        <w:t>第一款</w:t>
      </w:r>
      <w:r>
        <w:rPr>
          <w:rFonts w:hint="eastAsia" w:ascii="仿宋_GB2312" w:hAnsi="仿宋_GB2312" w:eastAsia="仿宋_GB2312" w:cs="仿宋_GB2312"/>
          <w:kern w:val="1"/>
          <w:sz w:val="32"/>
          <w:szCs w:val="32"/>
          <w:u w:val="none"/>
        </w:rPr>
        <w:t>第一项的规定，本局将每日按罚款数额的百分之三加处罚款，并依法申请人民法院强制执行。</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kern w:val="1"/>
          <w:sz w:val="32"/>
          <w:szCs w:val="32"/>
          <w:u w:val="none"/>
          <w:lang w:val="en-US" w:eastAsia="zh-CN"/>
        </w:rPr>
      </w:pPr>
      <w:r>
        <w:rPr>
          <w:rFonts w:hint="eastAsia" w:ascii="仿宋_GB2312" w:hAnsi="仿宋_GB2312" w:eastAsia="仿宋_GB2312" w:cs="仿宋_GB2312"/>
          <w:kern w:val="1"/>
          <w:sz w:val="32"/>
          <w:szCs w:val="32"/>
          <w:u w:val="none"/>
          <w:lang w:val="en-US" w:eastAsia="zh-CN"/>
        </w:rPr>
        <w:t xml:space="preserve">    </w:t>
      </w:r>
      <w:r>
        <w:rPr>
          <w:rFonts w:hint="eastAsia" w:ascii="仿宋_GB2312" w:hAnsi="仿宋_GB2312" w:eastAsia="仿宋_GB2312" w:cs="仿宋_GB2312"/>
          <w:kern w:val="1"/>
          <w:sz w:val="32"/>
          <w:szCs w:val="32"/>
          <w:u w:val="none"/>
        </w:rPr>
        <w:t xml:space="preserve">如你（单位）不服本行政处罚决定，可以在收到本行政处罚决定书之日起六十日内向天津市北辰区人民政府申请行政复议；也可以在六个月内依法向天津市北辰区法院提起行政诉讼。申请行政复议或者提起行政诉讼期间，行政处罚不停止执行。                </w:t>
      </w:r>
      <w:r>
        <w:rPr>
          <w:rFonts w:hint="eastAsia" w:ascii="仿宋_GB2312" w:hAnsi="仿宋_GB2312" w:eastAsia="仿宋_GB2312" w:cs="仿宋_GB2312"/>
          <w:kern w:val="1"/>
          <w:sz w:val="32"/>
          <w:szCs w:val="32"/>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kern w:val="1"/>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kern w:val="1"/>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kern w:val="1"/>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kern w:val="1"/>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kern w:val="1"/>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kern w:val="1"/>
          <w:sz w:val="32"/>
          <w:szCs w:val="32"/>
          <w:u w:val="none"/>
        </w:rPr>
      </w:pPr>
      <w:r>
        <w:rPr>
          <w:rFonts w:hint="eastAsia" w:ascii="仿宋_GB2312" w:hAnsi="仿宋_GB2312" w:eastAsia="仿宋_GB2312" w:cs="仿宋_GB2312"/>
          <w:kern w:val="1"/>
          <w:sz w:val="32"/>
          <w:szCs w:val="32"/>
          <w:u w:val="none"/>
          <w:lang w:val="en-US" w:eastAsia="zh-CN"/>
        </w:rPr>
        <w:t xml:space="preserve">                     </w:t>
      </w:r>
      <w:r>
        <w:rPr>
          <w:rFonts w:hint="eastAsia" w:ascii="仿宋_GB2312" w:hAnsi="仿宋_GB2312" w:eastAsia="仿宋_GB2312" w:cs="仿宋_GB2312"/>
          <w:kern w:val="1"/>
          <w:sz w:val="32"/>
          <w:szCs w:val="32"/>
          <w:u w:val="none"/>
        </w:rPr>
        <w:t>天津市北辰区市场监督管理局</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kern w:val="1"/>
          <w:sz w:val="32"/>
          <w:szCs w:val="32"/>
          <w:u w:val="none"/>
        </w:rPr>
      </w:pPr>
      <w:r>
        <w:rPr>
          <w:rFonts w:hint="eastAsia" w:ascii="仿宋_GB2312" w:hAnsi="仿宋_GB2312" w:eastAsia="仿宋_GB2312" w:cs="仿宋_GB2312"/>
          <w:kern w:val="1"/>
          <w:sz w:val="32"/>
          <w:szCs w:val="32"/>
          <w:u w:val="none"/>
        </w:rPr>
        <w:t xml:space="preserve">                       </w:t>
      </w:r>
      <w:r>
        <w:rPr>
          <w:rFonts w:hint="eastAsia" w:ascii="仿宋_GB2312" w:hAnsi="仿宋_GB2312" w:eastAsia="仿宋_GB2312" w:cs="仿宋_GB2312"/>
          <w:kern w:val="1"/>
          <w:sz w:val="32"/>
          <w:szCs w:val="32"/>
          <w:u w:val="none"/>
          <w:lang w:val="en-US" w:eastAsia="zh-CN"/>
        </w:rPr>
        <w:t xml:space="preserve">    </w:t>
      </w:r>
      <w:r>
        <w:rPr>
          <w:rFonts w:hint="eastAsia" w:ascii="仿宋_GB2312" w:hAnsi="仿宋_GB2312" w:eastAsia="仿宋_GB2312" w:cs="仿宋_GB2312"/>
          <w:kern w:val="1"/>
          <w:sz w:val="32"/>
          <w:szCs w:val="32"/>
          <w:u w:val="none"/>
        </w:rPr>
        <w:t>202</w:t>
      </w:r>
      <w:r>
        <w:rPr>
          <w:rFonts w:hint="eastAsia" w:ascii="仿宋_GB2312" w:hAnsi="仿宋_GB2312" w:eastAsia="仿宋_GB2312" w:cs="仿宋_GB2312"/>
          <w:kern w:val="1"/>
          <w:sz w:val="32"/>
          <w:szCs w:val="32"/>
          <w:u w:val="none"/>
          <w:lang w:val="en-US" w:eastAsia="zh-CN"/>
        </w:rPr>
        <w:t>2</w:t>
      </w:r>
      <w:r>
        <w:rPr>
          <w:rFonts w:hint="eastAsia" w:ascii="仿宋_GB2312" w:hAnsi="仿宋_GB2312" w:eastAsia="仿宋_GB2312" w:cs="仿宋_GB2312"/>
          <w:kern w:val="1"/>
          <w:sz w:val="32"/>
          <w:szCs w:val="32"/>
          <w:u w:val="none"/>
        </w:rPr>
        <w:t>年</w:t>
      </w:r>
      <w:r>
        <w:rPr>
          <w:rFonts w:hint="eastAsia" w:ascii="仿宋_GB2312" w:hAnsi="仿宋_GB2312" w:eastAsia="仿宋_GB2312" w:cs="仿宋_GB2312"/>
          <w:kern w:val="1"/>
          <w:sz w:val="32"/>
          <w:szCs w:val="32"/>
          <w:u w:val="none"/>
          <w:lang w:val="en-US" w:eastAsia="zh-CN"/>
        </w:rPr>
        <w:t>1</w:t>
      </w:r>
      <w:r>
        <w:rPr>
          <w:rFonts w:hint="eastAsia" w:ascii="仿宋_GB2312" w:hAnsi="仿宋_GB2312" w:eastAsia="仿宋_GB2312" w:cs="仿宋_GB2312"/>
          <w:kern w:val="1"/>
          <w:sz w:val="32"/>
          <w:szCs w:val="32"/>
          <w:u w:val="none"/>
        </w:rPr>
        <w:t>月</w:t>
      </w:r>
      <w:r>
        <w:rPr>
          <w:rFonts w:hint="eastAsia" w:ascii="仿宋_GB2312" w:hAnsi="仿宋_GB2312" w:eastAsia="仿宋_GB2312" w:cs="仿宋_GB2312"/>
          <w:kern w:val="1"/>
          <w:sz w:val="32"/>
          <w:szCs w:val="32"/>
          <w:u w:val="none"/>
          <w:lang w:val="en-US" w:eastAsia="zh-CN"/>
        </w:rPr>
        <w:t>25</w:t>
      </w:r>
      <w:r>
        <w:rPr>
          <w:rFonts w:hint="eastAsia" w:ascii="仿宋_GB2312" w:hAnsi="仿宋_GB2312" w:eastAsia="仿宋_GB2312" w:cs="仿宋_GB2312"/>
          <w:kern w:val="1"/>
          <w:sz w:val="32"/>
          <w:szCs w:val="32"/>
          <w:u w:val="none"/>
        </w:rPr>
        <w:t>日</w:t>
      </w:r>
    </w:p>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hint="eastAsia" w:ascii="黑体" w:hAnsi="黑体" w:eastAsia="黑体" w:cs="黑体"/>
          <w:color w:val="000000"/>
          <w:sz w:val="30"/>
          <w:szCs w:val="30"/>
        </w:rPr>
      </w:pPr>
    </w:p>
    <w:p>
      <w:pPr>
        <w:keepNext w:val="0"/>
        <w:keepLines w:val="0"/>
        <w:pageBreakBefore w:val="0"/>
        <w:widowControl w:val="0"/>
        <w:kinsoku/>
        <w:wordWrap/>
        <w:overflowPunct/>
        <w:topLinePunct w:val="0"/>
        <w:autoSpaceDE/>
        <w:autoSpaceDN/>
        <w:bidi w:val="0"/>
        <w:adjustRightInd/>
        <w:spacing w:line="560" w:lineRule="exact"/>
        <w:textAlignment w:val="auto"/>
        <w:rPr>
          <w:rFonts w:ascii="Times New Roman" w:hAnsi="Times New Roman" w:eastAsia="仿宋_GB2312" w:cs="仿宋"/>
          <w:color w:val="000000"/>
          <w:sz w:val="32"/>
          <w:szCs w:val="32"/>
        </w:rPr>
      </w:pPr>
    </w:p>
    <w:sectPr>
      <w:pgSz w:w="11906" w:h="16838"/>
      <w:pgMar w:top="1400" w:right="1531" w:bottom="140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6AD"/>
    <w:rsid w:val="000017E7"/>
    <w:rsid w:val="00003429"/>
    <w:rsid w:val="00011226"/>
    <w:rsid w:val="00014C9F"/>
    <w:rsid w:val="00016DF0"/>
    <w:rsid w:val="00022CAA"/>
    <w:rsid w:val="000243E0"/>
    <w:rsid w:val="00036E04"/>
    <w:rsid w:val="00041B23"/>
    <w:rsid w:val="00090D74"/>
    <w:rsid w:val="000960F7"/>
    <w:rsid w:val="000B5EC7"/>
    <w:rsid w:val="000B6DAF"/>
    <w:rsid w:val="000C3020"/>
    <w:rsid w:val="000C3983"/>
    <w:rsid w:val="000F326A"/>
    <w:rsid w:val="000F70F1"/>
    <w:rsid w:val="00120713"/>
    <w:rsid w:val="00126A1D"/>
    <w:rsid w:val="00126CD5"/>
    <w:rsid w:val="00135EB0"/>
    <w:rsid w:val="00135F54"/>
    <w:rsid w:val="00140601"/>
    <w:rsid w:val="00172890"/>
    <w:rsid w:val="001B5C4A"/>
    <w:rsid w:val="001E7963"/>
    <w:rsid w:val="001F56AD"/>
    <w:rsid w:val="00210EBF"/>
    <w:rsid w:val="0021180C"/>
    <w:rsid w:val="00211BF8"/>
    <w:rsid w:val="002167C2"/>
    <w:rsid w:val="002366C8"/>
    <w:rsid w:val="00245003"/>
    <w:rsid w:val="002726B8"/>
    <w:rsid w:val="00275384"/>
    <w:rsid w:val="002B79E3"/>
    <w:rsid w:val="002C65F2"/>
    <w:rsid w:val="002C7147"/>
    <w:rsid w:val="002F0D98"/>
    <w:rsid w:val="002F2F1A"/>
    <w:rsid w:val="002F720D"/>
    <w:rsid w:val="003537B2"/>
    <w:rsid w:val="003558ED"/>
    <w:rsid w:val="00361280"/>
    <w:rsid w:val="00392945"/>
    <w:rsid w:val="003947BA"/>
    <w:rsid w:val="003C6C61"/>
    <w:rsid w:val="003D37C9"/>
    <w:rsid w:val="003D640D"/>
    <w:rsid w:val="003E5944"/>
    <w:rsid w:val="003F26A6"/>
    <w:rsid w:val="003F7DB0"/>
    <w:rsid w:val="00405D5A"/>
    <w:rsid w:val="00443563"/>
    <w:rsid w:val="00445F36"/>
    <w:rsid w:val="0045379D"/>
    <w:rsid w:val="004652B0"/>
    <w:rsid w:val="00485A82"/>
    <w:rsid w:val="00495CA3"/>
    <w:rsid w:val="004A20DB"/>
    <w:rsid w:val="004A651B"/>
    <w:rsid w:val="004C405E"/>
    <w:rsid w:val="004D1BB7"/>
    <w:rsid w:val="004D7D5A"/>
    <w:rsid w:val="004E0552"/>
    <w:rsid w:val="004E5266"/>
    <w:rsid w:val="005102F9"/>
    <w:rsid w:val="00541D75"/>
    <w:rsid w:val="0057173F"/>
    <w:rsid w:val="005C1A8D"/>
    <w:rsid w:val="005C6516"/>
    <w:rsid w:val="005E03F4"/>
    <w:rsid w:val="005E169D"/>
    <w:rsid w:val="005F3572"/>
    <w:rsid w:val="00606E73"/>
    <w:rsid w:val="0061185B"/>
    <w:rsid w:val="00623026"/>
    <w:rsid w:val="00643234"/>
    <w:rsid w:val="00650444"/>
    <w:rsid w:val="00651FA3"/>
    <w:rsid w:val="00654C82"/>
    <w:rsid w:val="00660BAD"/>
    <w:rsid w:val="00665910"/>
    <w:rsid w:val="00675695"/>
    <w:rsid w:val="00684B85"/>
    <w:rsid w:val="00685600"/>
    <w:rsid w:val="006A4F75"/>
    <w:rsid w:val="006A7EB7"/>
    <w:rsid w:val="006B2A99"/>
    <w:rsid w:val="006D13C1"/>
    <w:rsid w:val="007109F0"/>
    <w:rsid w:val="00724C41"/>
    <w:rsid w:val="00741EF3"/>
    <w:rsid w:val="00750ED0"/>
    <w:rsid w:val="00753E8A"/>
    <w:rsid w:val="00776923"/>
    <w:rsid w:val="007A4625"/>
    <w:rsid w:val="007B4EFC"/>
    <w:rsid w:val="007B6D94"/>
    <w:rsid w:val="007C2663"/>
    <w:rsid w:val="007C3712"/>
    <w:rsid w:val="007D3462"/>
    <w:rsid w:val="007D7F62"/>
    <w:rsid w:val="007E586E"/>
    <w:rsid w:val="007E7EDB"/>
    <w:rsid w:val="007F7304"/>
    <w:rsid w:val="0080458E"/>
    <w:rsid w:val="008060FB"/>
    <w:rsid w:val="00813B30"/>
    <w:rsid w:val="00814B98"/>
    <w:rsid w:val="00817B8E"/>
    <w:rsid w:val="00833D3E"/>
    <w:rsid w:val="008349EB"/>
    <w:rsid w:val="00841E2B"/>
    <w:rsid w:val="008522E9"/>
    <w:rsid w:val="0087042E"/>
    <w:rsid w:val="00873663"/>
    <w:rsid w:val="00893C0E"/>
    <w:rsid w:val="008B0426"/>
    <w:rsid w:val="008B535C"/>
    <w:rsid w:val="008B5C15"/>
    <w:rsid w:val="008E42A4"/>
    <w:rsid w:val="008F2228"/>
    <w:rsid w:val="008F3F36"/>
    <w:rsid w:val="008F6BDF"/>
    <w:rsid w:val="00905E5E"/>
    <w:rsid w:val="00907CAA"/>
    <w:rsid w:val="00920AE6"/>
    <w:rsid w:val="009270EB"/>
    <w:rsid w:val="0093078D"/>
    <w:rsid w:val="00937AAA"/>
    <w:rsid w:val="00941B23"/>
    <w:rsid w:val="00947E57"/>
    <w:rsid w:val="00951E8C"/>
    <w:rsid w:val="00960450"/>
    <w:rsid w:val="00964B4E"/>
    <w:rsid w:val="00965F23"/>
    <w:rsid w:val="00966260"/>
    <w:rsid w:val="009908B1"/>
    <w:rsid w:val="00991F21"/>
    <w:rsid w:val="009C02C1"/>
    <w:rsid w:val="009C0E27"/>
    <w:rsid w:val="009D60B1"/>
    <w:rsid w:val="009F03F3"/>
    <w:rsid w:val="009F2F58"/>
    <w:rsid w:val="009F44E1"/>
    <w:rsid w:val="009F6B8F"/>
    <w:rsid w:val="00A1694C"/>
    <w:rsid w:val="00A613CE"/>
    <w:rsid w:val="00A62181"/>
    <w:rsid w:val="00A71557"/>
    <w:rsid w:val="00A81EE9"/>
    <w:rsid w:val="00AE6947"/>
    <w:rsid w:val="00B02E4F"/>
    <w:rsid w:val="00B21B18"/>
    <w:rsid w:val="00B26B88"/>
    <w:rsid w:val="00B362EE"/>
    <w:rsid w:val="00B44AB9"/>
    <w:rsid w:val="00B53FEA"/>
    <w:rsid w:val="00B55544"/>
    <w:rsid w:val="00B60514"/>
    <w:rsid w:val="00B62DB9"/>
    <w:rsid w:val="00B9469E"/>
    <w:rsid w:val="00BB4E2F"/>
    <w:rsid w:val="00BB6593"/>
    <w:rsid w:val="00BC3E12"/>
    <w:rsid w:val="00BC4EC9"/>
    <w:rsid w:val="00BE4D1D"/>
    <w:rsid w:val="00BF3024"/>
    <w:rsid w:val="00C0777E"/>
    <w:rsid w:val="00C200F6"/>
    <w:rsid w:val="00C36994"/>
    <w:rsid w:val="00C42ABD"/>
    <w:rsid w:val="00C43AFA"/>
    <w:rsid w:val="00C536D4"/>
    <w:rsid w:val="00C60F83"/>
    <w:rsid w:val="00CA43D7"/>
    <w:rsid w:val="00CA7AF6"/>
    <w:rsid w:val="00CC097E"/>
    <w:rsid w:val="00CD2551"/>
    <w:rsid w:val="00CD57EF"/>
    <w:rsid w:val="00CE602B"/>
    <w:rsid w:val="00CF339E"/>
    <w:rsid w:val="00D02EC3"/>
    <w:rsid w:val="00D037B5"/>
    <w:rsid w:val="00D13649"/>
    <w:rsid w:val="00D41288"/>
    <w:rsid w:val="00D72A22"/>
    <w:rsid w:val="00D80C36"/>
    <w:rsid w:val="00D87291"/>
    <w:rsid w:val="00D94D43"/>
    <w:rsid w:val="00D95643"/>
    <w:rsid w:val="00DB0127"/>
    <w:rsid w:val="00DB71FF"/>
    <w:rsid w:val="00DD1E74"/>
    <w:rsid w:val="00DE2CE7"/>
    <w:rsid w:val="00DE64DD"/>
    <w:rsid w:val="00DF63B5"/>
    <w:rsid w:val="00E03F78"/>
    <w:rsid w:val="00E15156"/>
    <w:rsid w:val="00E166E9"/>
    <w:rsid w:val="00E5031B"/>
    <w:rsid w:val="00E56908"/>
    <w:rsid w:val="00E70EDD"/>
    <w:rsid w:val="00E83777"/>
    <w:rsid w:val="00E97B34"/>
    <w:rsid w:val="00EA1185"/>
    <w:rsid w:val="00EB37BC"/>
    <w:rsid w:val="00ED1A27"/>
    <w:rsid w:val="00EE32F7"/>
    <w:rsid w:val="00EF544F"/>
    <w:rsid w:val="00F11AC4"/>
    <w:rsid w:val="00F31576"/>
    <w:rsid w:val="00F57354"/>
    <w:rsid w:val="00F63436"/>
    <w:rsid w:val="00F6355C"/>
    <w:rsid w:val="00F65F6B"/>
    <w:rsid w:val="00F77CE5"/>
    <w:rsid w:val="00F9530C"/>
    <w:rsid w:val="00FA50FA"/>
    <w:rsid w:val="00FA6F48"/>
    <w:rsid w:val="00FB3A53"/>
    <w:rsid w:val="00FB53BB"/>
    <w:rsid w:val="00FC10BF"/>
    <w:rsid w:val="00FE590D"/>
    <w:rsid w:val="00FE7C3F"/>
    <w:rsid w:val="01493123"/>
    <w:rsid w:val="12E63AF6"/>
    <w:rsid w:val="1A350117"/>
    <w:rsid w:val="218B22C1"/>
    <w:rsid w:val="22DC27B9"/>
    <w:rsid w:val="233C2D63"/>
    <w:rsid w:val="2BC96097"/>
    <w:rsid w:val="30952ADB"/>
    <w:rsid w:val="3BA94389"/>
    <w:rsid w:val="3BC54CED"/>
    <w:rsid w:val="4616236D"/>
    <w:rsid w:val="56BFB2D8"/>
    <w:rsid w:val="594DCE97"/>
    <w:rsid w:val="73975D6E"/>
    <w:rsid w:val="773FA24A"/>
    <w:rsid w:val="77D2334A"/>
    <w:rsid w:val="7A4B0EB6"/>
    <w:rsid w:val="7AFE7D2D"/>
    <w:rsid w:val="7DAB5F0D"/>
    <w:rsid w:val="7EF7BEA4"/>
    <w:rsid w:val="7F76FC48"/>
    <w:rsid w:val="7F9B95B0"/>
    <w:rsid w:val="7FAB613A"/>
    <w:rsid w:val="7FEF658C"/>
    <w:rsid w:val="9E0B8353"/>
    <w:rsid w:val="AF3DF55C"/>
    <w:rsid w:val="BBEE00C3"/>
    <w:rsid w:val="D6A44384"/>
    <w:rsid w:val="D7BFFD3C"/>
    <w:rsid w:val="D9ED49D0"/>
    <w:rsid w:val="DABF51C3"/>
    <w:rsid w:val="DDE767F9"/>
    <w:rsid w:val="F57F84AD"/>
    <w:rsid w:val="FA7FE5D8"/>
    <w:rsid w:val="FAB9FD0B"/>
    <w:rsid w:val="FCD1141F"/>
    <w:rsid w:val="FDDAF835"/>
    <w:rsid w:val="FED7D438"/>
    <w:rsid w:val="FEFF370B"/>
    <w:rsid w:val="FF07FB02"/>
    <w:rsid w:val="FFDF817B"/>
    <w:rsid w:val="FFFC11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9"/>
    <w:semiHidden/>
    <w:unhideWhenUsed/>
    <w:qFormat/>
    <w:uiPriority w:val="99"/>
    <w:pPr>
      <w:ind w:left="100" w:leftChars="2500"/>
    </w:pPr>
  </w:style>
  <w:style w:type="paragraph" w:styleId="3">
    <w:name w:val="footer"/>
    <w:basedOn w:val="1"/>
    <w:link w:val="8"/>
    <w:unhideWhenUsed/>
    <w:qFormat/>
    <w:uiPriority w:val="0"/>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99"/>
    <w:rPr>
      <w:rFonts w:ascii="Calibri" w:hAnsi="Calibri" w:eastAsia="宋体" w:cs="Times New Roman"/>
      <w:sz w:val="18"/>
      <w:szCs w:val="18"/>
    </w:rPr>
  </w:style>
  <w:style w:type="character" w:customStyle="1" w:styleId="8">
    <w:name w:val="页脚 字符"/>
    <w:basedOn w:val="6"/>
    <w:link w:val="3"/>
    <w:qFormat/>
    <w:uiPriority w:val="0"/>
    <w:rPr>
      <w:rFonts w:ascii="Calibri" w:hAnsi="Calibri" w:eastAsia="宋体" w:cs="Times New Roman"/>
      <w:sz w:val="18"/>
      <w:szCs w:val="18"/>
    </w:rPr>
  </w:style>
  <w:style w:type="character" w:customStyle="1" w:styleId="9">
    <w:name w:val="日期 字符"/>
    <w:basedOn w:val="6"/>
    <w:link w:val="2"/>
    <w:semiHidden/>
    <w:qFormat/>
    <w:uiPriority w:val="99"/>
    <w:rPr>
      <w:rFonts w:ascii="Calibri" w:hAnsi="Calibri" w:eastAsia="宋体" w:cs="Times New Roman"/>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391</Words>
  <Characters>2229</Characters>
  <Lines>18</Lines>
  <Paragraphs>5</Paragraphs>
  <TotalTime>3</TotalTime>
  <ScaleCrop>false</ScaleCrop>
  <LinksUpToDate>false</LinksUpToDate>
  <CharactersWithSpaces>2615</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2019-04-06T14:52:00Z</dcterms:created>
  <dc:creator>赵明宇</dc:creator>
  <cp:lastModifiedBy>greatwall</cp:lastModifiedBy>
  <cp:lastPrinted>2021-12-03T18:40:00Z</cp:lastPrinted>
  <dcterms:modified xsi:type="dcterms:W3CDTF">2022-02-07T15:29:05Z</dcterms:modified>
  <cp:revision>718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