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color w:val="000000"/>
          <w:sz w:val="44"/>
          <w:szCs w:val="44"/>
          <w:u w:val="none"/>
        </w:rPr>
      </w:pPr>
      <w:r>
        <w:rPr>
          <w:rFonts w:hint="eastAsia" w:ascii="Times New Roman" w:hAnsi="Times New Roman" w:eastAsia="方正小标宋简体" w:cs="方正小标宋简体"/>
          <w:bCs/>
          <w:color w:val="000000"/>
          <w:sz w:val="44"/>
          <w:szCs w:val="44"/>
          <w:u w:val="none"/>
        </w:rPr>
        <w:t>天津市北辰区市场监督管理局</w:t>
      </w:r>
    </w:p>
    <w:p>
      <w:pPr>
        <w:spacing w:line="640" w:lineRule="exact"/>
        <w:jc w:val="center"/>
        <w:rPr>
          <w:rFonts w:ascii="Times New Roman" w:hAnsi="Times New Roman" w:eastAsia="方正小标宋简体" w:cs="方正小标宋简体"/>
          <w:bCs/>
          <w:color w:val="000000"/>
          <w:sz w:val="44"/>
          <w:szCs w:val="44"/>
          <w:u w:val="none"/>
        </w:rPr>
      </w:pPr>
      <w:r>
        <w:rPr>
          <w:rFonts w:hint="eastAsia" w:ascii="Times New Roman" w:hAnsi="Times New Roman" w:eastAsia="方正小标宋简体" w:cs="方正小标宋简体"/>
          <w:bCs/>
          <w:color w:val="000000"/>
          <w:sz w:val="44"/>
          <w:szCs w:val="44"/>
          <w:u w:val="none"/>
        </w:rPr>
        <w:t>行政处罚决定书</w:t>
      </w:r>
    </w:p>
    <w:p>
      <w:pPr>
        <w:wordWrap w:val="0"/>
        <w:snapToGrid w:val="0"/>
        <w:spacing w:before="312" w:beforeLines="100" w:after="312" w:afterLines="100" w:line="520" w:lineRule="exact"/>
        <w:jc w:val="center"/>
        <w:rPr>
          <w:rFonts w:ascii="Times New Roman" w:hAnsi="Times New Roman" w:eastAsia="仿宋_GB2312" w:cs="仿宋"/>
          <w:color w:val="000000"/>
          <w:sz w:val="32"/>
          <w:szCs w:val="32"/>
          <w:u w:val="none"/>
        </w:rPr>
      </w:pPr>
      <w:r>
        <w:rPr>
          <w:u w:val="none"/>
        </w:rPr>
        <mc:AlternateContent>
          <mc:Choice Requires="wps">
            <w:drawing>
              <wp:anchor distT="0" distB="0" distL="114300" distR="114300" simplePos="0" relativeHeight="251657216" behindDoc="0" locked="0" layoutInCell="1" allowOverlap="1">
                <wp:simplePos x="0" y="0"/>
                <wp:positionH relativeFrom="column">
                  <wp:posOffset>25400</wp:posOffset>
                </wp:positionH>
                <wp:positionV relativeFrom="paragraph">
                  <wp:posOffset>20802600</wp:posOffset>
                </wp:positionV>
                <wp:extent cx="5761990" cy="1270"/>
                <wp:effectExtent l="19050" t="19050" r="29210" b="36830"/>
                <wp:wrapNone/>
                <wp:docPr id="10" name="直接箭头连接符 10"/>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657216;mso-width-relative:page;mso-height-relative:page;" filled="f" stroked="t" coordsize="21600,21600" o:gfxdata="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CLXiia2gAAAAsBAAAPAAAAAAAAAAEAIAAAADgAAABkcnMvZG93bnJl&#10;di54bWxQSwECFAAUAAAACACHTuJA48fwxOUBAACiAwAADgAAAAAAAAABACAAAAA/AQAAZHJzL2Uy&#10;b0RvYy54bWxQSwUGAAAAAAYABgBZAQAAlgUAAAAA&#10;">
                <v:fill on="f" focussize="0,0"/>
                <v:stroke weight="1.5pt" color="#000000" joinstyle="round" endcap="square"/>
                <v:imagedata o:title=""/>
                <o:lock v:ext="edit" aspectratio="f"/>
              </v:shape>
            </w:pict>
          </mc:Fallback>
        </mc:AlternateContent>
      </w:r>
      <w:r>
        <w:rPr>
          <w:rFonts w:hint="eastAsia" w:ascii="Times New Roman" w:hAnsi="Times New Roman" w:eastAsia="仿宋_GB2312" w:cs="仿宋"/>
          <w:color w:val="000000"/>
          <w:sz w:val="32"/>
          <w:szCs w:val="32"/>
          <w:u w:val="none"/>
        </w:rPr>
        <w:t>津辰市监处罚〔</w:t>
      </w:r>
      <w:r>
        <w:rPr>
          <w:rFonts w:ascii="Times New Roman" w:hAnsi="Times New Roman" w:eastAsia="仿宋_GB2312" w:cs="仿宋"/>
          <w:color w:val="000000"/>
          <w:sz w:val="32"/>
          <w:szCs w:val="32"/>
          <w:u w:val="none"/>
        </w:rPr>
        <w:t>2022</w:t>
      </w:r>
      <w:r>
        <w:rPr>
          <w:rFonts w:hint="eastAsia" w:ascii="Times New Roman" w:hAnsi="Times New Roman" w:eastAsia="仿宋_GB2312" w:cs="仿宋"/>
          <w:color w:val="000000"/>
          <w:sz w:val="32"/>
          <w:szCs w:val="32"/>
          <w:u w:val="none"/>
        </w:rPr>
        <w:t>〕</w:t>
      </w:r>
      <w:r>
        <w:rPr>
          <w:rFonts w:ascii="Times New Roman" w:hAnsi="Times New Roman" w:eastAsia="仿宋_GB2312" w:cs="仿宋"/>
          <w:color w:val="000000"/>
          <w:sz w:val="32"/>
          <w:szCs w:val="32"/>
          <w:u w:val="none"/>
        </w:rPr>
        <w:t>701</w:t>
      </w:r>
      <w:r>
        <w:rPr>
          <w:rFonts w:hint="eastAsia" w:ascii="Times New Roman" w:hAnsi="Times New Roman" w:eastAsia="仿宋_GB2312" w:cs="仿宋"/>
          <w:color w:val="000000"/>
          <w:sz w:val="32"/>
          <w:szCs w:val="32"/>
          <w:u w:val="none"/>
        </w:rPr>
        <w:t>号</w:t>
      </w:r>
    </w:p>
    <w:p>
      <w:pPr>
        <w:wordWrap w:val="0"/>
        <w:spacing w:line="520" w:lineRule="exact"/>
        <w:ind w:firstLine="640" w:firstLineChars="200"/>
        <w:rPr>
          <w:rFonts w:ascii="仿宋_GB2312" w:hAnsi="Times New Roman" w:eastAsia="仿宋_GB2312" w:cs="微软雅黑"/>
          <w:kern w:val="1"/>
          <w:sz w:val="32"/>
          <w:szCs w:val="32"/>
          <w:u w:val="none"/>
        </w:rPr>
      </w:pPr>
      <w:r>
        <w:rPr>
          <w:rFonts w:hint="eastAsia" w:ascii="仿宋_GB2312" w:hAnsi="Times New Roman" w:eastAsia="仿宋_GB2312" w:cs="微软雅黑"/>
          <w:kern w:val="1"/>
          <w:sz w:val="32"/>
          <w:szCs w:val="32"/>
          <w:u w:val="none"/>
        </w:rPr>
        <w:t>当事人：</w:t>
      </w:r>
      <w:r>
        <w:rPr>
          <w:rFonts w:hint="eastAsia" w:ascii="Times New Roman" w:hAnsi="Times New Roman" w:eastAsia="仿宋_GB2312" w:cs="仿宋_GB2312"/>
          <w:sz w:val="32"/>
          <w:szCs w:val="32"/>
          <w:u w:val="none"/>
        </w:rPr>
        <w:t>天津蓝果科技有限公司</w:t>
      </w:r>
    </w:p>
    <w:p>
      <w:pPr>
        <w:wordWrap w:val="0"/>
        <w:spacing w:line="520" w:lineRule="exact"/>
        <w:ind w:firstLine="640" w:firstLineChars="200"/>
        <w:rPr>
          <w:rFonts w:ascii="仿宋_GB2312" w:hAnsi="Times New Roman" w:eastAsia="仿宋_GB2312" w:cs="微软雅黑"/>
          <w:kern w:val="1"/>
          <w:sz w:val="32"/>
          <w:szCs w:val="32"/>
          <w:u w:val="none"/>
        </w:rPr>
      </w:pPr>
      <w:r>
        <w:rPr>
          <w:rFonts w:hint="eastAsia" w:ascii="仿宋_GB2312" w:hAnsi="Times New Roman" w:eastAsia="仿宋_GB2312" w:cs="微软雅黑"/>
          <w:kern w:val="1"/>
          <w:sz w:val="32"/>
          <w:szCs w:val="32"/>
          <w:u w:val="none"/>
        </w:rPr>
        <w:t>主体资格证照名称：营业执照</w:t>
      </w:r>
    </w:p>
    <w:p>
      <w:pPr>
        <w:wordWrap w:val="0"/>
        <w:spacing w:line="520" w:lineRule="exact"/>
        <w:ind w:firstLine="640" w:firstLineChars="200"/>
        <w:rPr>
          <w:rFonts w:ascii="仿宋_GB2312" w:hAnsi="Times New Roman" w:eastAsia="仿宋_GB2312" w:cs="微软雅黑"/>
          <w:kern w:val="1"/>
          <w:sz w:val="32"/>
          <w:szCs w:val="32"/>
          <w:u w:val="none"/>
        </w:rPr>
      </w:pPr>
      <w:r>
        <w:rPr>
          <w:rFonts w:hint="eastAsia" w:ascii="仿宋_GB2312" w:hAnsi="Times New Roman" w:eastAsia="仿宋_GB2312" w:cs="微软雅黑"/>
          <w:kern w:val="1"/>
          <w:sz w:val="32"/>
          <w:szCs w:val="32"/>
          <w:u w:val="none"/>
        </w:rPr>
        <w:t>统一社会信用代码（注册号）：</w:t>
      </w:r>
      <w:r>
        <w:rPr>
          <w:rFonts w:ascii="Times New Roman" w:hAnsi="Times New Roman" w:eastAsia="仿宋_GB2312" w:cs="仿宋_GB2312"/>
          <w:sz w:val="32"/>
          <w:szCs w:val="32"/>
          <w:u w:val="none"/>
        </w:rPr>
        <w:t>91120110MA05K7026H</w:t>
      </w:r>
    </w:p>
    <w:p>
      <w:pPr>
        <w:wordWrap w:val="0"/>
        <w:spacing w:line="520" w:lineRule="exact"/>
        <w:ind w:firstLine="640" w:firstLineChars="200"/>
        <w:rPr>
          <w:rFonts w:ascii="仿宋_GB2312" w:hAnsi="Times New Roman" w:eastAsia="仿宋_GB2312" w:cs="微软雅黑"/>
          <w:kern w:val="1"/>
          <w:sz w:val="32"/>
          <w:szCs w:val="32"/>
          <w:u w:val="none"/>
        </w:rPr>
      </w:pPr>
      <w:r>
        <w:rPr>
          <w:rFonts w:hint="eastAsia" w:ascii="仿宋_GB2312" w:hAnsi="Times New Roman" w:eastAsia="仿宋_GB2312" w:cs="微软雅黑"/>
          <w:kern w:val="1"/>
          <w:sz w:val="32"/>
          <w:szCs w:val="32"/>
          <w:u w:val="none"/>
        </w:rPr>
        <w:t>住所（住址）：</w:t>
      </w:r>
      <w:r>
        <w:rPr>
          <w:rFonts w:hint="eastAsia" w:ascii="Times New Roman" w:hAnsi="Times New Roman" w:eastAsia="仿宋_GB2312" w:cs="仿宋_GB2312"/>
          <w:sz w:val="32"/>
          <w:szCs w:val="32"/>
          <w:u w:val="none"/>
        </w:rPr>
        <w:t>天津市东丽区大毕庄金朝阳电动车商城内C区38号</w:t>
      </w:r>
    </w:p>
    <w:p>
      <w:pPr>
        <w:wordWrap w:val="0"/>
        <w:spacing w:line="520" w:lineRule="exact"/>
        <w:ind w:firstLine="640" w:firstLineChars="200"/>
        <w:rPr>
          <w:rFonts w:ascii="仿宋_GB2312" w:hAnsi="Times New Roman" w:eastAsia="仿宋_GB2312" w:cs="微软雅黑"/>
          <w:kern w:val="1"/>
          <w:sz w:val="32"/>
          <w:szCs w:val="32"/>
          <w:u w:val="none"/>
        </w:rPr>
      </w:pPr>
      <w:r>
        <w:rPr>
          <w:rFonts w:hint="eastAsia" w:ascii="仿宋_GB2312" w:hAnsi="Times New Roman" w:eastAsia="仿宋_GB2312" w:cs="微软雅黑"/>
          <w:kern w:val="1"/>
          <w:sz w:val="32"/>
          <w:szCs w:val="32"/>
          <w:u w:val="none"/>
        </w:rPr>
        <w:t>法定代表人（负责人、经营者）：</w:t>
      </w:r>
      <w:r>
        <w:rPr>
          <w:rFonts w:hint="eastAsia" w:ascii="Times New Roman" w:hAnsi="Times New Roman" w:eastAsia="仿宋_GB2312" w:cs="仿宋_GB2312"/>
          <w:sz w:val="32"/>
          <w:szCs w:val="32"/>
          <w:u w:val="none"/>
        </w:rPr>
        <w:t>郑红红</w:t>
      </w:r>
    </w:p>
    <w:p>
      <w:pPr>
        <w:wordWrap w:val="0"/>
        <w:spacing w:line="520" w:lineRule="exact"/>
        <w:ind w:firstLine="640" w:firstLineChars="200"/>
        <w:rPr>
          <w:rFonts w:hint="eastAsia" w:ascii="仿宋_GB2312" w:hAnsi="Times New Roman" w:eastAsia="仿宋_GB2312" w:cs="微软雅黑"/>
          <w:kern w:val="1"/>
          <w:sz w:val="32"/>
          <w:szCs w:val="32"/>
          <w:u w:val="none"/>
          <w:lang w:eastAsia="zh-CN"/>
        </w:rPr>
      </w:pPr>
      <w:r>
        <w:rPr>
          <w:rFonts w:hint="eastAsia" w:ascii="仿宋_GB2312" w:hAnsi="Times New Roman" w:eastAsia="仿宋_GB2312" w:cs="微软雅黑"/>
          <w:kern w:val="1"/>
          <w:sz w:val="32"/>
          <w:szCs w:val="32"/>
          <w:u w:val="none"/>
        </w:rPr>
        <w:t>身份证件号码：</w:t>
      </w:r>
      <w:r>
        <w:rPr>
          <w:rFonts w:hint="eastAsia" w:ascii="Times New Roman" w:hAnsi="Times New Roman" w:eastAsia="仿宋_GB2312" w:cs="Mongolian Baiti"/>
          <w:kern w:val="1"/>
          <w:sz w:val="32"/>
          <w:szCs w:val="32"/>
          <w:u w:val="none"/>
          <w:lang w:val="en-US" w:eastAsia="zh-CN"/>
        </w:rPr>
        <w:t>/</w:t>
      </w:r>
    </w:p>
    <w:p>
      <w:pPr>
        <w:wordWrap w:val="0"/>
        <w:spacing w:line="520" w:lineRule="exact"/>
        <w:ind w:firstLine="640" w:firstLineChars="200"/>
        <w:rPr>
          <w:rFonts w:ascii="Times New Roman" w:hAnsi="Times New Roman" w:eastAsia="仿宋_GB2312" w:cs="仿宋_GB2312"/>
          <w:sz w:val="32"/>
          <w:szCs w:val="32"/>
          <w:u w:val="none"/>
        </w:rPr>
      </w:pPr>
      <w:r>
        <w:rPr>
          <w:rFonts w:hint="eastAsia" w:ascii="Times New Roman" w:hAnsi="Times New Roman" w:eastAsia="仿宋_GB2312" w:cs="仿宋_GB2312"/>
          <w:sz w:val="32"/>
          <w:szCs w:val="32"/>
          <w:u w:val="none"/>
        </w:rPr>
        <w:t>2022年8月19日，我局接到天津市市场监督管理委员会寄来的检验报告（No. 2210343），报告显示当事人生产的生产日期为2022年6月、规格型号为ZL-WD-02的电动自行车后灯在天津市市场监督管理委员会组织的监督抽查中，经天津市产品质量监督检测技术研究院自行车研究中心的抽样检验，照明（光度要求）不符合GB17761-2018标准，依据《电动自行车车灯产品质量监督抽查实施细则（2022年版）》判定为不合格。上述产品全部被销往天津山惠科技有限公司。2022年8月29日，执法人员对天津山惠科技有限公司进行检查，现场未发现上述电动自行车前灯的库存，天津山惠科技有限公司负责人表示当事人已对上述产品全部召回。2022年</w:t>
      </w:r>
      <w:r>
        <w:rPr>
          <w:rFonts w:ascii="Times New Roman" w:hAnsi="Times New Roman" w:eastAsia="仿宋_GB2312" w:cs="仿宋_GB2312"/>
          <w:sz w:val="32"/>
          <w:szCs w:val="32"/>
          <w:u w:val="none"/>
        </w:rPr>
        <w:t>8</w:t>
      </w:r>
      <w:r>
        <w:rPr>
          <w:rFonts w:hint="eastAsia" w:ascii="Times New Roman" w:hAnsi="Times New Roman" w:eastAsia="仿宋_GB2312" w:cs="仿宋_GB2312"/>
          <w:sz w:val="32"/>
          <w:szCs w:val="32"/>
          <w:u w:val="none"/>
        </w:rPr>
        <w:t>月3</w:t>
      </w:r>
      <w:r>
        <w:rPr>
          <w:rFonts w:ascii="Times New Roman" w:hAnsi="Times New Roman" w:eastAsia="仿宋_GB2312" w:cs="仿宋_GB2312"/>
          <w:sz w:val="32"/>
          <w:szCs w:val="32"/>
          <w:u w:val="none"/>
        </w:rPr>
        <w:t>0</w:t>
      </w:r>
      <w:r>
        <w:rPr>
          <w:rFonts w:hint="eastAsia" w:ascii="Times New Roman" w:hAnsi="Times New Roman" w:eastAsia="仿宋_GB2312" w:cs="仿宋_GB2312"/>
          <w:sz w:val="32"/>
          <w:szCs w:val="32"/>
          <w:u w:val="none"/>
        </w:rPr>
        <w:t>日，执法人员报经局领导批准，予以立案调查。202</w:t>
      </w:r>
      <w:r>
        <w:rPr>
          <w:rFonts w:ascii="Times New Roman" w:hAnsi="Times New Roman" w:eastAsia="仿宋_GB2312" w:cs="仿宋_GB2312"/>
          <w:sz w:val="32"/>
          <w:szCs w:val="32"/>
          <w:u w:val="none"/>
        </w:rPr>
        <w:t>2</w:t>
      </w:r>
      <w:r>
        <w:rPr>
          <w:rFonts w:hint="eastAsia" w:ascii="Times New Roman" w:hAnsi="Times New Roman" w:eastAsia="仿宋_GB2312" w:cs="仿宋_GB2312"/>
          <w:sz w:val="32"/>
          <w:szCs w:val="32"/>
          <w:u w:val="none"/>
        </w:rPr>
        <w:t>年</w:t>
      </w:r>
      <w:r>
        <w:rPr>
          <w:rFonts w:ascii="Times New Roman" w:hAnsi="Times New Roman" w:eastAsia="仿宋_GB2312" w:cs="仿宋_GB2312"/>
          <w:sz w:val="32"/>
          <w:szCs w:val="32"/>
          <w:u w:val="none"/>
        </w:rPr>
        <w:t>11</w:t>
      </w:r>
      <w:r>
        <w:rPr>
          <w:rFonts w:hint="eastAsia" w:ascii="Times New Roman" w:hAnsi="Times New Roman" w:eastAsia="仿宋_GB2312" w:cs="仿宋_GB2312"/>
          <w:sz w:val="32"/>
          <w:szCs w:val="32"/>
          <w:u w:val="none"/>
        </w:rPr>
        <w:t>月</w:t>
      </w:r>
      <w:r>
        <w:rPr>
          <w:rFonts w:ascii="Times New Roman" w:hAnsi="Times New Roman" w:eastAsia="仿宋_GB2312" w:cs="仿宋_GB2312"/>
          <w:sz w:val="32"/>
          <w:szCs w:val="32"/>
          <w:u w:val="none"/>
        </w:rPr>
        <w:t>17</w:t>
      </w:r>
      <w:r>
        <w:rPr>
          <w:rFonts w:hint="eastAsia" w:ascii="Times New Roman" w:hAnsi="Times New Roman" w:eastAsia="仿宋_GB2312" w:cs="仿宋_GB2312"/>
          <w:sz w:val="32"/>
          <w:szCs w:val="32"/>
          <w:u w:val="none"/>
        </w:rPr>
        <w:t>日调查终结。</w:t>
      </w:r>
    </w:p>
    <w:p>
      <w:pPr>
        <w:wordWrap w:val="0"/>
        <w:spacing w:line="520" w:lineRule="exact"/>
        <w:ind w:firstLine="640" w:firstLineChars="200"/>
        <w:rPr>
          <w:rFonts w:ascii="仿宋_GB2312" w:hAnsi="Times New Roman" w:eastAsia="仿宋_GB2312"/>
          <w:sz w:val="32"/>
          <w:szCs w:val="32"/>
          <w:u w:val="none"/>
        </w:rPr>
      </w:pPr>
      <w:r>
        <w:rPr>
          <w:rFonts w:hint="eastAsia" w:ascii="仿宋_GB2312" w:hAnsi="Times New Roman" w:eastAsia="仿宋_GB2312"/>
          <w:sz w:val="32"/>
          <w:szCs w:val="32"/>
          <w:u w:val="none"/>
        </w:rPr>
        <w:t>经查明，</w:t>
      </w:r>
      <w:r>
        <w:rPr>
          <w:rFonts w:hint="eastAsia" w:ascii="Times New Roman" w:hAnsi="Times New Roman" w:eastAsia="仿宋_GB2312" w:cs="仿宋_GB2312"/>
          <w:sz w:val="32"/>
          <w:szCs w:val="32"/>
          <w:u w:val="none"/>
        </w:rPr>
        <w:t>当事人于202</w:t>
      </w:r>
      <w:r>
        <w:rPr>
          <w:rFonts w:ascii="Times New Roman" w:hAnsi="Times New Roman" w:eastAsia="仿宋_GB2312" w:cs="仿宋_GB2312"/>
          <w:sz w:val="32"/>
          <w:szCs w:val="32"/>
          <w:u w:val="none"/>
        </w:rPr>
        <w:t>2</w:t>
      </w:r>
      <w:r>
        <w:rPr>
          <w:rFonts w:hint="eastAsia" w:ascii="Times New Roman" w:hAnsi="Times New Roman" w:eastAsia="仿宋_GB2312" w:cs="仿宋_GB2312"/>
          <w:sz w:val="32"/>
          <w:szCs w:val="32"/>
          <w:u w:val="none"/>
        </w:rPr>
        <w:t>年</w:t>
      </w:r>
      <w:r>
        <w:rPr>
          <w:rFonts w:ascii="Times New Roman" w:hAnsi="Times New Roman" w:eastAsia="仿宋_GB2312" w:cs="仿宋_GB2312"/>
          <w:sz w:val="32"/>
          <w:szCs w:val="32"/>
          <w:u w:val="none"/>
        </w:rPr>
        <w:t>6</w:t>
      </w:r>
      <w:r>
        <w:rPr>
          <w:rFonts w:hint="eastAsia" w:ascii="Times New Roman" w:hAnsi="Times New Roman" w:eastAsia="仿宋_GB2312" w:cs="仿宋_GB2312"/>
          <w:sz w:val="32"/>
          <w:szCs w:val="32"/>
          <w:u w:val="none"/>
        </w:rPr>
        <w:t>月</w:t>
      </w:r>
      <w:r>
        <w:rPr>
          <w:rFonts w:ascii="Times New Roman" w:hAnsi="Times New Roman" w:eastAsia="仿宋_GB2312" w:cs="仿宋_GB2312"/>
          <w:sz w:val="32"/>
          <w:szCs w:val="32"/>
          <w:u w:val="none"/>
        </w:rPr>
        <w:t>1</w:t>
      </w:r>
      <w:r>
        <w:rPr>
          <w:rFonts w:hint="eastAsia" w:ascii="Times New Roman" w:hAnsi="Times New Roman" w:eastAsia="仿宋_GB2312" w:cs="仿宋_GB2312"/>
          <w:sz w:val="32"/>
          <w:szCs w:val="32"/>
          <w:u w:val="none"/>
        </w:rPr>
        <w:t>日生产并销往天津山惠科技有限公司，规格型号为ZL-WD-02的电动自行车后灯在天津市市场监督管理委员会组织的监督抽查中，经天津市产品质量监督检测技术研究院自行车研究中心的抽样检验，照明（光度要求）不符合GB17761-2018标准，依据《电动自行车车灯产品质量监督抽查实施细则（2022年版）》判定为不合格。当事人对上述检验结果无异议，在复检期内未提出复检申请。上述行为满足生产销售不符合保障人体健康和人身财产安全的国家标准的电动自行车配件的构成要件。当事人共生产上述规格型号电动自行车后灯</w:t>
      </w:r>
      <w:r>
        <w:rPr>
          <w:rFonts w:ascii="Times New Roman" w:hAnsi="Times New Roman" w:eastAsia="仿宋_GB2312" w:cs="仿宋_GB2312"/>
          <w:sz w:val="32"/>
          <w:szCs w:val="32"/>
          <w:u w:val="none"/>
        </w:rPr>
        <w:t>30</w:t>
      </w:r>
      <w:r>
        <w:rPr>
          <w:rFonts w:hint="eastAsia" w:ascii="Times New Roman" w:hAnsi="Times New Roman" w:eastAsia="仿宋_GB2312" w:cs="仿宋_GB2312"/>
          <w:sz w:val="32"/>
          <w:szCs w:val="32"/>
          <w:u w:val="none"/>
        </w:rPr>
        <w:t>只，销售</w:t>
      </w:r>
      <w:r>
        <w:rPr>
          <w:rFonts w:ascii="Times New Roman" w:hAnsi="Times New Roman" w:eastAsia="仿宋_GB2312" w:cs="仿宋_GB2312"/>
          <w:sz w:val="32"/>
          <w:szCs w:val="32"/>
          <w:u w:val="none"/>
        </w:rPr>
        <w:t>30</w:t>
      </w:r>
      <w:r>
        <w:rPr>
          <w:rFonts w:hint="eastAsia" w:ascii="Times New Roman" w:hAnsi="Times New Roman" w:eastAsia="仿宋_GB2312" w:cs="仿宋_GB2312"/>
          <w:sz w:val="32"/>
          <w:szCs w:val="32"/>
          <w:u w:val="none"/>
        </w:rPr>
        <w:t>只，抽检1只</w:t>
      </w:r>
      <w:r>
        <w:rPr>
          <w:rFonts w:ascii="Times New Roman" w:hAnsi="Times New Roman" w:eastAsia="仿宋_GB2312" w:cs="仿宋_GB2312"/>
          <w:sz w:val="32"/>
          <w:szCs w:val="32"/>
          <w:u w:val="none"/>
        </w:rPr>
        <w:t>，</w:t>
      </w:r>
      <w:r>
        <w:rPr>
          <w:rFonts w:hint="eastAsia" w:ascii="Times New Roman" w:hAnsi="Times New Roman" w:eastAsia="仿宋_GB2312" w:cs="仿宋_GB2312"/>
          <w:sz w:val="32"/>
          <w:szCs w:val="32"/>
          <w:u w:val="none"/>
        </w:rPr>
        <w:t>召回</w:t>
      </w:r>
      <w:r>
        <w:rPr>
          <w:rFonts w:ascii="Times New Roman" w:hAnsi="Times New Roman" w:eastAsia="仿宋_GB2312" w:cs="仿宋_GB2312"/>
          <w:sz w:val="32"/>
          <w:szCs w:val="32"/>
          <w:u w:val="none"/>
        </w:rPr>
        <w:t>29</w:t>
      </w:r>
      <w:r>
        <w:rPr>
          <w:rFonts w:hint="eastAsia" w:ascii="Times New Roman" w:hAnsi="Times New Roman" w:eastAsia="仿宋_GB2312" w:cs="仿宋_GB2312"/>
          <w:sz w:val="32"/>
          <w:szCs w:val="32"/>
          <w:u w:val="none"/>
        </w:rPr>
        <w:t>只，</w:t>
      </w:r>
      <w:r>
        <w:rPr>
          <w:rFonts w:ascii="Times New Roman" w:hAnsi="Times New Roman" w:eastAsia="仿宋_GB2312" w:cs="仿宋_GB2312"/>
          <w:sz w:val="32"/>
          <w:szCs w:val="32"/>
          <w:u w:val="none"/>
        </w:rPr>
        <w:t>29</w:t>
      </w:r>
      <w:r>
        <w:rPr>
          <w:rFonts w:hint="eastAsia" w:ascii="Times New Roman" w:hAnsi="Times New Roman" w:eastAsia="仿宋_GB2312" w:cs="仿宋_GB2312"/>
          <w:sz w:val="32"/>
          <w:szCs w:val="32"/>
          <w:u w:val="none"/>
        </w:rPr>
        <w:t>只</w:t>
      </w:r>
      <w:r>
        <w:rPr>
          <w:rFonts w:ascii="Times New Roman" w:hAnsi="Times New Roman" w:eastAsia="仿宋_GB2312" w:cs="仿宋_GB2312"/>
          <w:sz w:val="32"/>
          <w:szCs w:val="32"/>
          <w:u w:val="none"/>
        </w:rPr>
        <w:t>均</w:t>
      </w:r>
      <w:r>
        <w:rPr>
          <w:rFonts w:hint="eastAsia" w:ascii="Times New Roman" w:hAnsi="Times New Roman" w:eastAsia="仿宋_GB2312" w:cs="仿宋_GB2312"/>
          <w:sz w:val="32"/>
          <w:szCs w:val="32"/>
          <w:u w:val="none"/>
        </w:rPr>
        <w:t>被销毁，货值金额</w:t>
      </w:r>
      <w:r>
        <w:rPr>
          <w:rFonts w:ascii="Times New Roman" w:hAnsi="Times New Roman" w:eastAsia="仿宋_GB2312" w:cs="仿宋_GB2312"/>
          <w:sz w:val="32"/>
          <w:szCs w:val="32"/>
          <w:u w:val="none"/>
        </w:rPr>
        <w:t>120</w:t>
      </w:r>
      <w:r>
        <w:rPr>
          <w:rFonts w:hint="eastAsia" w:ascii="Times New Roman" w:hAnsi="Times New Roman" w:eastAsia="仿宋_GB2312" w:cs="仿宋_GB2312"/>
          <w:sz w:val="32"/>
          <w:szCs w:val="32"/>
          <w:u w:val="none"/>
        </w:rPr>
        <w:t>元。因产品</w:t>
      </w:r>
      <w:r>
        <w:rPr>
          <w:rFonts w:ascii="Times New Roman" w:hAnsi="Times New Roman" w:eastAsia="仿宋_GB2312" w:cs="仿宋_GB2312"/>
          <w:sz w:val="32"/>
          <w:szCs w:val="32"/>
          <w:u w:val="none"/>
        </w:rPr>
        <w:t>全部召回，无</w:t>
      </w:r>
      <w:r>
        <w:rPr>
          <w:rFonts w:hint="eastAsia" w:ascii="Times New Roman" w:hAnsi="Times New Roman" w:eastAsia="仿宋_GB2312" w:cs="仿宋_GB2312"/>
          <w:sz w:val="32"/>
          <w:szCs w:val="32"/>
          <w:u w:val="none"/>
        </w:rPr>
        <w:t>违法所得。</w:t>
      </w:r>
    </w:p>
    <w:p>
      <w:pPr>
        <w:spacing w:line="520" w:lineRule="exact"/>
        <w:ind w:firstLine="640" w:firstLineChars="200"/>
        <w:rPr>
          <w:rFonts w:ascii="Times New Roman" w:hAnsi="Times New Roman" w:eastAsia="仿宋_GB2312" w:cs="仿宋"/>
          <w:sz w:val="32"/>
          <w:szCs w:val="32"/>
          <w:u w:val="none"/>
        </w:rPr>
      </w:pPr>
      <w:r>
        <w:rPr>
          <w:rFonts w:hint="eastAsia" w:ascii="Times New Roman" w:hAnsi="Times New Roman" w:eastAsia="仿宋_GB2312" w:cs="仿宋"/>
          <w:sz w:val="32"/>
          <w:szCs w:val="32"/>
          <w:u w:val="none"/>
        </w:rPr>
        <w:t>上述事实，主要有以下证据证明：</w:t>
      </w:r>
    </w:p>
    <w:p>
      <w:pPr>
        <w:spacing w:line="460" w:lineRule="exact"/>
        <w:ind w:firstLine="640" w:firstLineChars="200"/>
        <w:rPr>
          <w:rFonts w:ascii="Times New Roman" w:hAnsi="Times New Roman" w:eastAsia="仿宋_GB2312" w:cs="仿宋_GB2312"/>
          <w:sz w:val="32"/>
          <w:szCs w:val="32"/>
          <w:u w:val="none"/>
        </w:rPr>
      </w:pPr>
      <w:r>
        <w:rPr>
          <w:rFonts w:hint="eastAsia" w:ascii="Times New Roman" w:hAnsi="Times New Roman" w:eastAsia="仿宋_GB2312" w:cs="仿宋_GB2312"/>
          <w:sz w:val="32"/>
          <w:szCs w:val="32"/>
          <w:u w:val="none"/>
        </w:rPr>
        <w:t>1</w:t>
      </w:r>
      <w:r>
        <w:rPr>
          <w:rFonts w:hint="eastAsia" w:ascii="仿宋_GB2312" w:hAnsi="Verdana" w:eastAsia="仿宋_GB2312" w:cs="仿宋_GB2312"/>
          <w:sz w:val="32"/>
          <w:szCs w:val="32"/>
          <w:u w:val="none"/>
        </w:rPr>
        <w:t>.</w:t>
      </w:r>
      <w:r>
        <w:rPr>
          <w:rFonts w:hint="eastAsia" w:ascii="Times New Roman" w:hAnsi="Times New Roman" w:eastAsia="仿宋_GB2312" w:cs="仿宋_GB2312"/>
          <w:sz w:val="32"/>
          <w:szCs w:val="32"/>
          <w:u w:val="none"/>
        </w:rPr>
        <w:t>当事人营业执照复印件</w:t>
      </w:r>
      <w:r>
        <w:rPr>
          <w:rFonts w:ascii="Times New Roman" w:hAnsi="Times New Roman" w:eastAsia="仿宋_GB2312" w:cs="仿宋_GB2312"/>
          <w:sz w:val="32"/>
          <w:szCs w:val="32"/>
          <w:u w:val="none"/>
        </w:rPr>
        <w:t>、</w:t>
      </w:r>
      <w:r>
        <w:rPr>
          <w:rFonts w:hint="eastAsia" w:ascii="Times New Roman" w:hAnsi="Times New Roman" w:eastAsia="仿宋_GB2312" w:cs="仿宋_GB2312"/>
          <w:sz w:val="32"/>
          <w:szCs w:val="32"/>
          <w:u w:val="none"/>
        </w:rPr>
        <w:t>法定代表人</w:t>
      </w:r>
      <w:r>
        <w:rPr>
          <w:rFonts w:hint="eastAsia" w:ascii="Times New Roman" w:hAnsi="Times New Roman" w:eastAsia="仿宋_GB2312" w:cs="仿宋_GB2312"/>
          <w:bCs/>
          <w:sz w:val="32"/>
          <w:szCs w:val="32"/>
          <w:u w:val="none"/>
        </w:rPr>
        <w:t>郑红红</w:t>
      </w:r>
      <w:r>
        <w:rPr>
          <w:rFonts w:hint="eastAsia" w:ascii="Times New Roman" w:hAnsi="Times New Roman" w:eastAsia="仿宋_GB2312" w:cs="仿宋_GB2312"/>
          <w:sz w:val="32"/>
          <w:szCs w:val="32"/>
          <w:u w:val="none"/>
        </w:rPr>
        <w:t>身份证复印件；2</w:t>
      </w:r>
      <w:r>
        <w:rPr>
          <w:rFonts w:hint="eastAsia" w:ascii="仿宋_GB2312" w:hAnsi="Verdana" w:eastAsia="仿宋_GB2312" w:cs="仿宋_GB2312"/>
          <w:sz w:val="32"/>
          <w:szCs w:val="32"/>
          <w:u w:val="none"/>
        </w:rPr>
        <w:t>.检验报告（报告编号：2210343）、</w:t>
      </w:r>
      <w:r>
        <w:rPr>
          <w:rFonts w:hint="eastAsia" w:ascii="Times New Roman" w:hAnsi="Times New Roman" w:eastAsia="仿宋_GB2312" w:cs="仿宋_GB2312"/>
          <w:sz w:val="32"/>
          <w:szCs w:val="32"/>
          <w:u w:val="none"/>
        </w:rPr>
        <w:t>现场检查笔录、现场检查</w:t>
      </w:r>
      <w:r>
        <w:rPr>
          <w:rFonts w:ascii="Times New Roman" w:hAnsi="Times New Roman" w:eastAsia="仿宋_GB2312" w:cs="仿宋_GB2312"/>
          <w:sz w:val="32"/>
          <w:szCs w:val="32"/>
          <w:u w:val="none"/>
        </w:rPr>
        <w:t>照片打印件</w:t>
      </w:r>
      <w:r>
        <w:rPr>
          <w:rFonts w:hint="eastAsia" w:ascii="Times New Roman" w:hAnsi="Times New Roman" w:eastAsia="仿宋_GB2312" w:cs="仿宋_GB2312"/>
          <w:sz w:val="32"/>
          <w:szCs w:val="32"/>
          <w:u w:val="none"/>
        </w:rPr>
        <w:t>；3</w:t>
      </w:r>
      <w:r>
        <w:rPr>
          <w:rFonts w:hint="eastAsia" w:ascii="仿宋_GB2312" w:hAnsi="Verdana" w:eastAsia="仿宋_GB2312" w:cs="仿宋_GB2312"/>
          <w:sz w:val="32"/>
          <w:szCs w:val="32"/>
          <w:u w:val="none"/>
        </w:rPr>
        <w:t>.对授权委托人江涛的询问笔录、授权委托书、被授权人身份证复印件、</w:t>
      </w:r>
      <w:r>
        <w:rPr>
          <w:rFonts w:ascii="仿宋_GB2312" w:hAnsi="Verdana" w:eastAsia="仿宋_GB2312" w:cs="仿宋_GB2312"/>
          <w:sz w:val="32"/>
          <w:szCs w:val="32"/>
          <w:u w:val="none"/>
        </w:rPr>
        <w:t>当事人提供的</w:t>
      </w:r>
      <w:r>
        <w:rPr>
          <w:rFonts w:hint="eastAsia" w:ascii="仿宋_GB2312" w:hAnsi="Verdana" w:eastAsia="仿宋_GB2312" w:cs="仿宋_GB2312"/>
          <w:sz w:val="32"/>
          <w:szCs w:val="32"/>
          <w:u w:val="none"/>
        </w:rPr>
        <w:t>涉案</w:t>
      </w:r>
      <w:r>
        <w:rPr>
          <w:rFonts w:ascii="仿宋_GB2312" w:hAnsi="Verdana" w:eastAsia="仿宋_GB2312" w:cs="仿宋_GB2312"/>
          <w:sz w:val="32"/>
          <w:szCs w:val="32"/>
          <w:u w:val="none"/>
        </w:rPr>
        <w:t>产品</w:t>
      </w:r>
      <w:r>
        <w:rPr>
          <w:rFonts w:hint="eastAsia" w:ascii="仿宋_GB2312" w:hAnsi="Verdana" w:eastAsia="仿宋_GB2312" w:cs="仿宋_GB2312"/>
          <w:sz w:val="32"/>
          <w:szCs w:val="32"/>
          <w:u w:val="none"/>
        </w:rPr>
        <w:t>生产记录登记表；</w:t>
      </w:r>
      <w:r>
        <w:rPr>
          <w:rFonts w:hint="eastAsia" w:ascii="Times New Roman" w:hAnsi="Times New Roman" w:eastAsia="仿宋_GB2312" w:cs="仿宋_GB2312"/>
          <w:sz w:val="32"/>
          <w:szCs w:val="32"/>
          <w:u w:val="none"/>
        </w:rPr>
        <w:t>4</w:t>
      </w:r>
      <w:r>
        <w:rPr>
          <w:rFonts w:hint="eastAsia" w:ascii="仿宋_GB2312" w:hAnsi="Verdana" w:eastAsia="仿宋_GB2312" w:cs="仿宋_GB2312"/>
          <w:sz w:val="32"/>
          <w:szCs w:val="32"/>
          <w:u w:val="none"/>
        </w:rPr>
        <w:t>.</w:t>
      </w:r>
      <w:r>
        <w:rPr>
          <w:rFonts w:hint="eastAsia"/>
          <w:u w:val="none"/>
        </w:rPr>
        <w:t xml:space="preserve"> </w:t>
      </w:r>
      <w:r>
        <w:rPr>
          <w:rFonts w:hint="eastAsia" w:ascii="仿宋_GB2312" w:hAnsi="Verdana" w:eastAsia="仿宋_GB2312" w:cs="仿宋_GB2312"/>
          <w:sz w:val="32"/>
          <w:szCs w:val="32"/>
          <w:u w:val="none"/>
        </w:rPr>
        <w:t>货值金额和违法所得计算表、当事人</w:t>
      </w:r>
      <w:r>
        <w:rPr>
          <w:rFonts w:ascii="仿宋_GB2312" w:hAnsi="Verdana" w:eastAsia="仿宋_GB2312" w:cs="仿宋_GB2312"/>
          <w:sz w:val="32"/>
          <w:szCs w:val="32"/>
          <w:u w:val="none"/>
        </w:rPr>
        <w:t>提供的产品</w:t>
      </w:r>
      <w:r>
        <w:rPr>
          <w:rFonts w:hint="eastAsia" w:ascii="仿宋_GB2312" w:hAnsi="Verdana" w:eastAsia="仿宋_GB2312" w:cs="仿宋_GB2312"/>
          <w:sz w:val="32"/>
          <w:szCs w:val="32"/>
          <w:u w:val="none"/>
        </w:rPr>
        <w:t>发货单、成本核算表；</w:t>
      </w:r>
      <w:r>
        <w:rPr>
          <w:rFonts w:hint="eastAsia" w:ascii="Times New Roman" w:hAnsi="Times New Roman" w:eastAsia="仿宋_GB2312" w:cs="仿宋_GB2312"/>
          <w:sz w:val="32"/>
          <w:szCs w:val="32"/>
          <w:u w:val="none"/>
        </w:rPr>
        <w:t>5.</w:t>
      </w:r>
      <w:r>
        <w:rPr>
          <w:rFonts w:hint="eastAsia" w:ascii="仿宋_GB2312" w:hAnsi="Verdana" w:eastAsia="仿宋_GB2312" w:cs="仿宋_GB2312"/>
          <w:sz w:val="32"/>
          <w:szCs w:val="32"/>
          <w:u w:val="none"/>
        </w:rPr>
        <w:t>当事人提供</w:t>
      </w:r>
      <w:r>
        <w:rPr>
          <w:rFonts w:ascii="仿宋_GB2312" w:hAnsi="Verdana" w:eastAsia="仿宋_GB2312" w:cs="仿宋_GB2312"/>
          <w:sz w:val="32"/>
          <w:szCs w:val="32"/>
          <w:u w:val="none"/>
        </w:rPr>
        <w:t>的</w:t>
      </w:r>
      <w:r>
        <w:rPr>
          <w:rFonts w:hint="eastAsia" w:ascii="仿宋_GB2312" w:hAnsi="Verdana" w:eastAsia="仿宋_GB2312" w:cs="仿宋_GB2312"/>
          <w:sz w:val="32"/>
          <w:szCs w:val="32"/>
          <w:u w:val="none"/>
        </w:rPr>
        <w:t>产品召回通知单</w:t>
      </w:r>
      <w:r>
        <w:rPr>
          <w:rFonts w:ascii="仿宋_GB2312" w:hAnsi="Verdana" w:eastAsia="仿宋_GB2312" w:cs="仿宋_GB2312"/>
          <w:sz w:val="32"/>
          <w:szCs w:val="32"/>
          <w:u w:val="none"/>
        </w:rPr>
        <w:t>、零件退库单及不合格品销毁记录</w:t>
      </w:r>
      <w:r>
        <w:rPr>
          <w:rFonts w:hint="eastAsia" w:ascii="Times New Roman" w:hAnsi="Times New Roman" w:eastAsia="仿宋_GB2312" w:cs="仿宋_GB2312"/>
          <w:bCs/>
          <w:sz w:val="32"/>
          <w:szCs w:val="32"/>
          <w:u w:val="none"/>
        </w:rPr>
        <w:t>。</w:t>
      </w:r>
    </w:p>
    <w:p>
      <w:pPr>
        <w:spacing w:line="520" w:lineRule="exact"/>
        <w:ind w:firstLine="640" w:firstLineChars="200"/>
        <w:rPr>
          <w:rFonts w:ascii="仿宋_GB2312" w:hAnsi="Times New Roman" w:eastAsia="仿宋_GB2312"/>
          <w:bCs/>
          <w:sz w:val="32"/>
          <w:szCs w:val="32"/>
          <w:u w:val="none"/>
        </w:rPr>
      </w:pPr>
      <w:r>
        <w:rPr>
          <w:rFonts w:hint="eastAsia" w:ascii="仿宋_GB2312" w:hAnsi="楷体_GB2312" w:eastAsia="仿宋_GB2312" w:cs="楷体_GB2312"/>
          <w:color w:val="000000"/>
          <w:sz w:val="32"/>
          <w:szCs w:val="32"/>
          <w:u w:val="none"/>
        </w:rPr>
        <w:t>本局于</w:t>
      </w:r>
      <w:r>
        <w:rPr>
          <w:rFonts w:ascii="仿宋_GB2312" w:hAnsi="楷体_GB2312" w:eastAsia="仿宋_GB2312" w:cs="楷体_GB2312"/>
          <w:color w:val="000000"/>
          <w:sz w:val="32"/>
          <w:szCs w:val="32"/>
          <w:u w:val="none"/>
        </w:rPr>
        <w:t>2022</w:t>
      </w:r>
      <w:r>
        <w:rPr>
          <w:rFonts w:hint="eastAsia" w:ascii="仿宋_GB2312" w:hAnsi="楷体_GB2312" w:eastAsia="仿宋_GB2312" w:cs="楷体_GB2312"/>
          <w:color w:val="000000"/>
          <w:sz w:val="32"/>
          <w:szCs w:val="32"/>
          <w:u w:val="none"/>
        </w:rPr>
        <w:t>年</w:t>
      </w:r>
      <w:r>
        <w:rPr>
          <w:rFonts w:ascii="仿宋_GB2312" w:hAnsi="楷体_GB2312" w:eastAsia="仿宋_GB2312" w:cs="楷体_GB2312"/>
          <w:color w:val="000000"/>
          <w:sz w:val="32"/>
          <w:szCs w:val="32"/>
          <w:u w:val="none"/>
        </w:rPr>
        <w:t>11</w:t>
      </w:r>
      <w:r>
        <w:rPr>
          <w:rFonts w:hint="eastAsia" w:ascii="仿宋_GB2312" w:hAnsi="楷体_GB2312" w:eastAsia="仿宋_GB2312" w:cs="楷体_GB2312"/>
          <w:color w:val="000000"/>
          <w:sz w:val="32"/>
          <w:szCs w:val="32"/>
          <w:u w:val="none"/>
        </w:rPr>
        <w:t>月</w:t>
      </w:r>
      <w:r>
        <w:rPr>
          <w:rFonts w:ascii="仿宋_GB2312" w:hAnsi="楷体_GB2312" w:eastAsia="仿宋_GB2312" w:cs="楷体_GB2312"/>
          <w:color w:val="000000"/>
          <w:sz w:val="32"/>
          <w:szCs w:val="32"/>
          <w:u w:val="none"/>
        </w:rPr>
        <w:t>17</w:t>
      </w:r>
      <w:r>
        <w:rPr>
          <w:rFonts w:hint="eastAsia" w:ascii="仿宋_GB2312" w:hAnsi="楷体_GB2312" w:eastAsia="仿宋_GB2312" w:cs="楷体_GB2312"/>
          <w:color w:val="000000"/>
          <w:sz w:val="32"/>
          <w:szCs w:val="32"/>
          <w:u w:val="none"/>
        </w:rPr>
        <w:t>日依法向当事人送达了《行政处罚告知书》（</w:t>
      </w:r>
      <w:r>
        <w:rPr>
          <w:rFonts w:hint="eastAsia" w:ascii="仿宋_GB2312" w:hAnsi="Arial" w:eastAsia="仿宋_GB2312" w:cs="Arial"/>
          <w:color w:val="000000"/>
          <w:sz w:val="32"/>
          <w:szCs w:val="32"/>
          <w:u w:val="none"/>
          <w:shd w:val="clear" w:color="auto" w:fill="FFFFFF"/>
        </w:rPr>
        <w:t>津辰市监罚告〔</w:t>
      </w:r>
      <w:r>
        <w:rPr>
          <w:rFonts w:ascii="仿宋_GB2312" w:hAnsi="Arial" w:eastAsia="仿宋_GB2312" w:cs="Arial"/>
          <w:color w:val="000000"/>
          <w:sz w:val="32"/>
          <w:szCs w:val="32"/>
          <w:u w:val="none"/>
          <w:shd w:val="clear" w:color="auto" w:fill="FFFFFF"/>
        </w:rPr>
        <w:t>2022</w:t>
      </w:r>
      <w:r>
        <w:rPr>
          <w:rFonts w:hint="eastAsia" w:ascii="仿宋_GB2312" w:hAnsi="Arial" w:eastAsia="仿宋_GB2312" w:cs="Arial"/>
          <w:color w:val="000000"/>
          <w:sz w:val="32"/>
          <w:szCs w:val="32"/>
          <w:u w:val="none"/>
          <w:shd w:val="clear" w:color="auto" w:fill="FFFFFF"/>
        </w:rPr>
        <w:t>〕</w:t>
      </w:r>
      <w:r>
        <w:rPr>
          <w:rFonts w:ascii="仿宋_GB2312" w:hAnsi="Arial" w:eastAsia="仿宋_GB2312" w:cs="Arial"/>
          <w:color w:val="000000"/>
          <w:sz w:val="32"/>
          <w:szCs w:val="32"/>
          <w:u w:val="none"/>
          <w:shd w:val="clear" w:color="auto" w:fill="FFFFFF"/>
        </w:rPr>
        <w:t>701</w:t>
      </w:r>
      <w:r>
        <w:rPr>
          <w:rFonts w:hint="eastAsia" w:ascii="仿宋_GB2312" w:hAnsi="Arial" w:eastAsia="仿宋_GB2312" w:cs="Arial"/>
          <w:color w:val="000000"/>
          <w:sz w:val="32"/>
          <w:szCs w:val="32"/>
          <w:u w:val="none"/>
          <w:shd w:val="clear" w:color="auto" w:fill="FFFFFF"/>
        </w:rPr>
        <w:t>号</w:t>
      </w:r>
      <w:r>
        <w:rPr>
          <w:rFonts w:hint="eastAsia" w:ascii="仿宋_GB2312" w:hAnsi="楷体_GB2312" w:eastAsia="仿宋_GB2312" w:cs="楷体_GB2312"/>
          <w:color w:val="000000"/>
          <w:sz w:val="32"/>
          <w:szCs w:val="32"/>
          <w:u w:val="none"/>
        </w:rPr>
        <w:t>），当事人未提出陈述申辩意见</w:t>
      </w:r>
      <w:r>
        <w:rPr>
          <w:rFonts w:hint="eastAsia" w:ascii="仿宋_GB2312" w:eastAsia="仿宋_GB2312"/>
          <w:color w:val="000000"/>
          <w:sz w:val="32"/>
          <w:szCs w:val="32"/>
          <w:u w:val="none"/>
        </w:rPr>
        <w:t>。</w:t>
      </w:r>
    </w:p>
    <w:p>
      <w:pPr>
        <w:spacing w:line="460" w:lineRule="exact"/>
        <w:ind w:firstLine="640" w:firstLineChars="200"/>
        <w:rPr>
          <w:rFonts w:ascii="仿宋_GB2312" w:hAnsi="Times New Roman" w:eastAsia="仿宋_GB2312" w:cs="仿宋_GB2312"/>
          <w:sz w:val="32"/>
          <w:szCs w:val="32"/>
          <w:u w:val="none"/>
        </w:rPr>
      </w:pPr>
      <w:r>
        <w:rPr>
          <w:rFonts w:hint="eastAsia" w:ascii="仿宋_GB2312" w:hAnsi="楷体_GB2312" w:eastAsia="仿宋_GB2312" w:cs="楷体_GB2312"/>
          <w:sz w:val="32"/>
          <w:szCs w:val="32"/>
          <w:u w:val="none"/>
        </w:rPr>
        <w:t>本局认为，</w:t>
      </w:r>
      <w:r>
        <w:rPr>
          <w:rFonts w:hint="eastAsia" w:ascii="仿宋_GB2312" w:hAnsi="Times New Roman" w:eastAsia="仿宋_GB2312" w:cs="仿宋_GB2312"/>
          <w:sz w:val="32"/>
          <w:szCs w:val="32"/>
          <w:u w:val="none"/>
        </w:rPr>
        <w:t>当事人上述</w:t>
      </w:r>
      <w:r>
        <w:rPr>
          <w:rFonts w:hint="eastAsia" w:ascii="仿宋_GB2312" w:hAnsi="Times New Roman" w:eastAsia="仿宋_GB2312" w:cs="仿宋_GB2312"/>
          <w:bCs/>
          <w:sz w:val="32"/>
          <w:szCs w:val="32"/>
          <w:u w:val="none"/>
        </w:rPr>
        <w:t>行为违反了《中华人民共和国产品质量法》第十三条第二款“禁止生产、销售不符合保障人体健康和人身、财产安全的标准和要求的工业产品。具体管理办法由国务院规定。”和第二十六条第二款第一项“产品质量应当符合下列要求：（一）不存在危及人身、财产安全的不合理的危险，有保障人体健康和人身、财产安全的国家标准、行业标准的，应当符合该标准”的规定。</w:t>
      </w:r>
    </w:p>
    <w:p>
      <w:pPr>
        <w:wordWrap w:val="0"/>
        <w:spacing w:line="520" w:lineRule="exact"/>
        <w:ind w:firstLine="640" w:firstLineChars="200"/>
        <w:rPr>
          <w:rFonts w:ascii="仿宋_GB2312" w:hAnsi="Times New Roman" w:eastAsia="仿宋_GB2312"/>
          <w:sz w:val="32"/>
          <w:szCs w:val="32"/>
          <w:u w:val="none"/>
        </w:rPr>
      </w:pPr>
      <w:r>
        <w:rPr>
          <w:rFonts w:hint="eastAsia" w:ascii="仿宋_GB2312" w:eastAsia="仿宋_GB2312"/>
          <w:sz w:val="32"/>
          <w:szCs w:val="32"/>
          <w:u w:val="none"/>
        </w:rPr>
        <w:t>鉴于</w:t>
      </w:r>
      <w:r>
        <w:rPr>
          <w:rFonts w:hint="eastAsia" w:ascii="Times New Roman" w:hAnsi="Times New Roman" w:eastAsia="仿宋_GB2312" w:cs="仿宋_GB2312"/>
          <w:bCs/>
          <w:sz w:val="32"/>
          <w:szCs w:val="32"/>
          <w:u w:val="none"/>
        </w:rPr>
        <w:t>当事人在案发后积极配合案件调查，提供相关单据，积极进行整改，符合《天津市市场和质量监督管理委员会行政处罚裁量适用规则》第十三条第五项“积极配合行政机关检查，如实提供有关账册、协议、单据、文件、记录、业务函件和其他资料以及积极改正违法行为的”的规定，予以从轻处罚。</w:t>
      </w:r>
    </w:p>
    <w:p>
      <w:pPr>
        <w:spacing w:line="460" w:lineRule="exact"/>
        <w:ind w:firstLine="640" w:firstLineChars="200"/>
        <w:rPr>
          <w:rFonts w:ascii="Times New Roman" w:hAnsi="Times New Roman" w:eastAsia="仿宋_GB2312" w:cs="仿宋_GB2312"/>
          <w:sz w:val="32"/>
          <w:szCs w:val="32"/>
          <w:u w:val="none"/>
        </w:rPr>
      </w:pPr>
      <w:r>
        <w:rPr>
          <w:rFonts w:hint="eastAsia" w:ascii="仿宋_GB2312" w:hAnsi="Times New Roman" w:eastAsia="仿宋_GB2312" w:cs="仿宋_GB2312"/>
          <w:sz w:val="32"/>
          <w:szCs w:val="32"/>
          <w:u w:val="none"/>
        </w:rPr>
        <w:t>依据《中华人民共和国产品质量法》第四十九条“生产、销售不符合保障人体健康和人身、财产安全的国家标准、行业标准的产品的，责令停止生产、销售，没收违法生产、销售的产品，并处违法生产、销售产品（包括已售出和未售出的产品，下同）货值金额等值以上三倍以下的罚款；有违法所得的，并处没收违法所得；情节严重的，吊销营业执照；构成犯罪的，依法追究刑事责任。”</w:t>
      </w:r>
      <w:r>
        <w:rPr>
          <w:rFonts w:hint="eastAsia" w:ascii="Times New Roman" w:hAnsi="Times New Roman" w:eastAsia="仿宋_GB2312" w:cs="仿宋_GB2312"/>
          <w:bCs/>
          <w:sz w:val="32"/>
          <w:szCs w:val="32"/>
          <w:u w:val="none"/>
        </w:rPr>
        <w:t>的</w:t>
      </w:r>
      <w:r>
        <w:rPr>
          <w:rFonts w:ascii="Times New Roman" w:hAnsi="Times New Roman" w:eastAsia="仿宋_GB2312" w:cs="仿宋_GB2312"/>
          <w:bCs/>
          <w:sz w:val="32"/>
          <w:szCs w:val="32"/>
          <w:u w:val="none"/>
        </w:rPr>
        <w:t>规定，</w:t>
      </w:r>
      <w:r>
        <w:rPr>
          <w:rFonts w:hint="eastAsia" w:ascii="Times New Roman" w:hAnsi="Times New Roman" w:eastAsia="仿宋_GB2312" w:cs="仿宋_GB2312"/>
          <w:bCs/>
          <w:sz w:val="32"/>
          <w:szCs w:val="32"/>
          <w:u w:val="none"/>
        </w:rPr>
        <w:t>责令当事人停止生产销售不符合保障人体健康和人身财产安全的国家标准的电动自行车配件询行为</w:t>
      </w:r>
      <w:r>
        <w:rPr>
          <w:rFonts w:ascii="Times New Roman" w:hAnsi="Times New Roman" w:eastAsia="仿宋_GB2312" w:cs="仿宋_GB2312"/>
          <w:bCs/>
          <w:sz w:val="32"/>
          <w:szCs w:val="32"/>
          <w:u w:val="none"/>
        </w:rPr>
        <w:t>，</w:t>
      </w:r>
      <w:r>
        <w:rPr>
          <w:rFonts w:hint="eastAsia" w:ascii="Times New Roman" w:hAnsi="Times New Roman" w:eastAsia="仿宋_GB2312" w:cs="仿宋_GB2312"/>
          <w:bCs/>
          <w:sz w:val="32"/>
          <w:szCs w:val="32"/>
          <w:u w:val="none"/>
        </w:rPr>
        <w:t>给予当事人以下行政处罚：处违法生产产品货值金额等额的罚款</w:t>
      </w:r>
      <w:r>
        <w:rPr>
          <w:rFonts w:ascii="Times New Roman" w:hAnsi="Times New Roman" w:eastAsia="仿宋_GB2312" w:cs="仿宋_GB2312"/>
          <w:bCs/>
          <w:sz w:val="32"/>
          <w:szCs w:val="32"/>
          <w:u w:val="none"/>
        </w:rPr>
        <w:t>120</w:t>
      </w:r>
      <w:r>
        <w:rPr>
          <w:rFonts w:hint="eastAsia" w:ascii="Times New Roman" w:hAnsi="Times New Roman" w:eastAsia="仿宋_GB2312" w:cs="仿宋_GB2312"/>
          <w:bCs/>
          <w:sz w:val="32"/>
          <w:szCs w:val="32"/>
          <w:u w:val="none"/>
        </w:rPr>
        <w:t>元。</w:t>
      </w:r>
    </w:p>
    <w:p>
      <w:pPr>
        <w:spacing w:line="500" w:lineRule="exact"/>
        <w:ind w:firstLine="601"/>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w:t>当事人应于收到本决定书之日起十五日内将罚（没）款缴到中国工商银行天津分行、中国农业银行天津分行、中国银行天津分行、中国建设银行天津分行、中国光大银行天津分行、天津银行、浙商银行天津分行等市财政指定非税收入收缴银行对公网点。逾期不缴纳罚款的，依据《中华人民共和国行政处罚法》第七十二条的规定，每日按罚款数额的百分之三加处罚款，并将依法申请人民法院强制执行。</w:t>
      </w:r>
    </w:p>
    <w:p>
      <w:pPr>
        <w:spacing w:line="500" w:lineRule="exact"/>
        <w:ind w:firstLine="601"/>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w:t>如你（单位）不服本行政处罚决定，可以在收到本行政处罚决定书之日起六十日内向天津市北辰区人民政府申请行政复议；也可以在六个月内依法向天津市北辰区人民法院提起行政诉讼。申请行政复议或者提起行政诉讼期间，行政处罚不停止执行。</w:t>
      </w:r>
    </w:p>
    <w:p>
      <w:pPr>
        <w:spacing w:line="500" w:lineRule="exact"/>
        <w:ind w:firstLine="601"/>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w:t>依据《企业信息公示暂行条例》等有关规定，本机关将通过市场主体信用信息公示系统、门户网站、专业网站等公示行政处罚信息。如公示的行政处罚信息不准确，当事人可以申请本机关予以更正。</w:t>
      </w:r>
    </w:p>
    <w:p>
      <w:pPr>
        <w:spacing w:line="500" w:lineRule="exact"/>
        <w:ind w:firstLine="601"/>
        <w:jc w:val="center"/>
        <w:rPr>
          <w:rFonts w:ascii="Times New Roman" w:hAnsi="Times New Roman" w:eastAsia="仿宋_GB2312" w:cs="仿宋"/>
          <w:color w:val="000000"/>
          <w:sz w:val="32"/>
          <w:szCs w:val="32"/>
          <w:u w:val="none"/>
        </w:rPr>
      </w:pPr>
      <w:r>
        <w:rPr>
          <w:rFonts w:ascii="Times New Roman" w:hAnsi="Times New Roman" w:eastAsia="仿宋_GB2312" w:cs="仿宋"/>
          <w:color w:val="000000"/>
          <w:sz w:val="32"/>
          <w:szCs w:val="32"/>
          <w:u w:val="none"/>
        </w:rPr>
        <w:t xml:space="preserve">                   </w:t>
      </w:r>
    </w:p>
    <w:p>
      <w:pPr>
        <w:spacing w:line="500" w:lineRule="exact"/>
        <w:ind w:firstLine="601"/>
        <w:jc w:val="center"/>
        <w:rPr>
          <w:rFonts w:ascii="Times New Roman" w:hAnsi="Times New Roman" w:eastAsia="仿宋_GB2312" w:cs="仿宋"/>
          <w:color w:val="000000"/>
          <w:sz w:val="32"/>
          <w:szCs w:val="32"/>
          <w:u w:val="none"/>
        </w:rPr>
      </w:pPr>
    </w:p>
    <w:p>
      <w:pPr>
        <w:spacing w:line="500" w:lineRule="exact"/>
        <w:ind w:firstLine="601"/>
        <w:jc w:val="center"/>
        <w:rPr>
          <w:rFonts w:ascii="Times New Roman" w:hAnsi="Times New Roman" w:eastAsia="仿宋_GB2312" w:cs="仿宋"/>
          <w:color w:val="000000"/>
          <w:sz w:val="32"/>
          <w:szCs w:val="32"/>
          <w:u w:val="none"/>
        </w:rPr>
      </w:pPr>
    </w:p>
    <w:p>
      <w:pPr>
        <w:spacing w:line="500" w:lineRule="exact"/>
        <w:ind w:firstLine="601"/>
        <w:jc w:val="center"/>
        <w:rPr>
          <w:rFonts w:ascii="Times New Roman" w:hAnsi="Times New Roman" w:eastAsia="仿宋_GB2312" w:cs="仿宋"/>
          <w:color w:val="000000"/>
          <w:sz w:val="32"/>
          <w:szCs w:val="32"/>
          <w:u w:val="none"/>
        </w:rPr>
      </w:pPr>
    </w:p>
    <w:p>
      <w:pPr>
        <w:spacing w:line="500" w:lineRule="exact"/>
        <w:ind w:firstLine="601"/>
        <w:jc w:val="center"/>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lang w:val="en-US" w:eastAsia="zh-CN"/>
        </w:rPr>
        <w:t xml:space="preserve">       </w:t>
      </w:r>
      <w:r>
        <w:rPr>
          <w:rFonts w:ascii="Times New Roman" w:hAnsi="Times New Roman" w:eastAsia="仿宋_GB2312" w:cs="仿宋"/>
          <w:color w:val="000000"/>
          <w:sz w:val="32"/>
          <w:szCs w:val="32"/>
          <w:u w:val="none"/>
        </w:rPr>
        <w:t xml:space="preserve">  </w:t>
      </w:r>
      <w:r>
        <w:rPr>
          <w:rFonts w:hint="eastAsia" w:ascii="Times New Roman" w:hAnsi="Times New Roman" w:eastAsia="仿宋_GB2312" w:cs="仿宋"/>
          <w:color w:val="000000"/>
          <w:sz w:val="32"/>
          <w:szCs w:val="32"/>
          <w:u w:val="none"/>
        </w:rPr>
        <w:t>天津市北辰区市场监督管理局</w:t>
      </w:r>
    </w:p>
    <w:p>
      <w:pPr>
        <w:spacing w:line="500" w:lineRule="exact"/>
        <w:ind w:right="640" w:firstLine="600"/>
        <w:jc w:val="center"/>
        <w:rPr>
          <w:rFonts w:ascii="Times New Roman" w:hAnsi="Times New Roman" w:eastAsia="仿宋_GB2312" w:cs="仿宋"/>
          <w:color w:val="000000"/>
          <w:sz w:val="32"/>
          <w:szCs w:val="32"/>
          <w:u w:val="none"/>
        </w:rPr>
      </w:pPr>
      <w:r>
        <w:rPr>
          <w:rFonts w:ascii="Times New Roman" w:hAnsi="Times New Roman" w:eastAsia="仿宋_GB2312" w:cs="仿宋"/>
          <w:color w:val="000000"/>
          <w:sz w:val="32"/>
          <w:szCs w:val="32"/>
          <w:u w:val="none"/>
        </w:rPr>
        <w:t xml:space="preserve">              2022</w:t>
      </w:r>
      <w:r>
        <w:rPr>
          <w:rFonts w:hint="eastAsia" w:ascii="Times New Roman" w:hAnsi="Times New Roman" w:eastAsia="仿宋_GB2312" w:cs="仿宋"/>
          <w:color w:val="000000"/>
          <w:sz w:val="32"/>
          <w:szCs w:val="32"/>
          <w:u w:val="none"/>
        </w:rPr>
        <w:t>年</w:t>
      </w:r>
      <w:r>
        <w:rPr>
          <w:rFonts w:ascii="Times New Roman" w:hAnsi="Times New Roman" w:eastAsia="仿宋_GB2312" w:cs="仿宋"/>
          <w:color w:val="000000"/>
          <w:sz w:val="32"/>
          <w:szCs w:val="32"/>
          <w:u w:val="none"/>
        </w:rPr>
        <w:t>11</w:t>
      </w:r>
      <w:r>
        <w:rPr>
          <w:rFonts w:hint="eastAsia" w:ascii="Times New Roman" w:hAnsi="Times New Roman" w:eastAsia="仿宋_GB2312" w:cs="仿宋"/>
          <w:color w:val="000000"/>
          <w:sz w:val="32"/>
          <w:szCs w:val="32"/>
          <w:u w:val="none"/>
        </w:rPr>
        <w:t>月</w:t>
      </w:r>
      <w:r>
        <w:rPr>
          <w:rFonts w:ascii="Times New Roman" w:hAnsi="Times New Roman" w:eastAsia="仿宋_GB2312" w:cs="仿宋"/>
          <w:color w:val="000000"/>
          <w:sz w:val="32"/>
          <w:szCs w:val="32"/>
          <w:u w:val="none"/>
        </w:rPr>
        <w:t>25</w:t>
      </w:r>
      <w:r>
        <w:rPr>
          <w:rFonts w:hint="eastAsia" w:ascii="Times New Roman" w:hAnsi="Times New Roman" w:eastAsia="仿宋_GB2312" w:cs="仿宋"/>
          <w:color w:val="000000"/>
          <w:sz w:val="32"/>
          <w:szCs w:val="32"/>
          <w:u w:val="none"/>
        </w:rPr>
        <w:t>日</w:t>
      </w:r>
      <w:bookmarkStart w:id="0" w:name="_GoBack"/>
      <w:bookmarkEnd w:id="0"/>
    </w:p>
    <w:sectPr>
      <w:pgSz w:w="11906" w:h="16838"/>
      <w:pgMar w:top="851" w:right="1559" w:bottom="851" w:left="155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Mongolian Baiti">
    <w:altName w:val="DejaVu Math TeX Gyre"/>
    <w:panose1 w:val="03000500000000000000"/>
    <w:charset w:val="00"/>
    <w:family w:val="script"/>
    <w:pitch w:val="default"/>
    <w:sig w:usb0="00000000" w:usb1="00000000" w:usb2="00020000" w:usb3="00000000" w:csb0="00000001" w:csb1="00000000"/>
  </w:font>
  <w:font w:name="Verdana">
    <w:altName w:val="Ubuntu"/>
    <w:panose1 w:val="020B0604030504040204"/>
    <w:charset w:val="00"/>
    <w:family w:val="swiss"/>
    <w:pitch w:val="default"/>
    <w:sig w:usb0="00000000" w:usb1="00000000" w:usb2="00000010" w:usb3="00000000" w:csb0="0000019F" w:csb1="00000000"/>
  </w:font>
  <w:font w:name="楷体_GB2312">
    <w:panose1 w:val="02010609030101010101"/>
    <w:charset w:val="86"/>
    <w:family w:val="modern"/>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 w:name="Ubuntu">
    <w:panose1 w:val="020B0604030602030204"/>
    <w:charset w:val="00"/>
    <w:family w:val="auto"/>
    <w:pitch w:val="default"/>
    <w:sig w:usb0="E00002FF" w:usb1="5000205B" w:usb2="00000000" w:usb3="00000000" w:csb0="2000009F" w:csb1="56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DE1"/>
    <w:rsid w:val="00025759"/>
    <w:rsid w:val="00040024"/>
    <w:rsid w:val="000716B9"/>
    <w:rsid w:val="00077769"/>
    <w:rsid w:val="000865D3"/>
    <w:rsid w:val="00097953"/>
    <w:rsid w:val="0013066A"/>
    <w:rsid w:val="00143DEF"/>
    <w:rsid w:val="001515D1"/>
    <w:rsid w:val="0018669B"/>
    <w:rsid w:val="0019529E"/>
    <w:rsid w:val="00197795"/>
    <w:rsid w:val="001C76D7"/>
    <w:rsid w:val="001E7180"/>
    <w:rsid w:val="0021586C"/>
    <w:rsid w:val="002266C5"/>
    <w:rsid w:val="00234CE0"/>
    <w:rsid w:val="002A5F3D"/>
    <w:rsid w:val="002B267D"/>
    <w:rsid w:val="002D4110"/>
    <w:rsid w:val="00312849"/>
    <w:rsid w:val="00336838"/>
    <w:rsid w:val="003972B2"/>
    <w:rsid w:val="003A70CA"/>
    <w:rsid w:val="003B15CB"/>
    <w:rsid w:val="003C194D"/>
    <w:rsid w:val="004258D0"/>
    <w:rsid w:val="00440B92"/>
    <w:rsid w:val="00475EB5"/>
    <w:rsid w:val="0048427B"/>
    <w:rsid w:val="00490DE1"/>
    <w:rsid w:val="004A2044"/>
    <w:rsid w:val="004C0C65"/>
    <w:rsid w:val="004C5584"/>
    <w:rsid w:val="004F7FC0"/>
    <w:rsid w:val="00524692"/>
    <w:rsid w:val="005A5762"/>
    <w:rsid w:val="005C3021"/>
    <w:rsid w:val="005C715C"/>
    <w:rsid w:val="005D6B69"/>
    <w:rsid w:val="005E067C"/>
    <w:rsid w:val="005E2D6D"/>
    <w:rsid w:val="00603FDA"/>
    <w:rsid w:val="006078BE"/>
    <w:rsid w:val="006610FB"/>
    <w:rsid w:val="006951A8"/>
    <w:rsid w:val="006B7E03"/>
    <w:rsid w:val="006C3A5F"/>
    <w:rsid w:val="006D0820"/>
    <w:rsid w:val="0077130B"/>
    <w:rsid w:val="00783FB4"/>
    <w:rsid w:val="00820C38"/>
    <w:rsid w:val="0082116D"/>
    <w:rsid w:val="00854455"/>
    <w:rsid w:val="00865169"/>
    <w:rsid w:val="0087151C"/>
    <w:rsid w:val="0089221C"/>
    <w:rsid w:val="008B4BAF"/>
    <w:rsid w:val="008C0303"/>
    <w:rsid w:val="008D13FF"/>
    <w:rsid w:val="008D661A"/>
    <w:rsid w:val="008D6CC4"/>
    <w:rsid w:val="008E3A91"/>
    <w:rsid w:val="00907EA3"/>
    <w:rsid w:val="009164C5"/>
    <w:rsid w:val="0094350E"/>
    <w:rsid w:val="009469C7"/>
    <w:rsid w:val="00950FB9"/>
    <w:rsid w:val="009631B5"/>
    <w:rsid w:val="009925E2"/>
    <w:rsid w:val="009941EF"/>
    <w:rsid w:val="00996A1D"/>
    <w:rsid w:val="009A6A15"/>
    <w:rsid w:val="009B27D6"/>
    <w:rsid w:val="00A351AB"/>
    <w:rsid w:val="00A53D38"/>
    <w:rsid w:val="00A56537"/>
    <w:rsid w:val="00A657A0"/>
    <w:rsid w:val="00A70100"/>
    <w:rsid w:val="00B15DC2"/>
    <w:rsid w:val="00B34CA2"/>
    <w:rsid w:val="00B35F78"/>
    <w:rsid w:val="00BB0017"/>
    <w:rsid w:val="00BC4FF1"/>
    <w:rsid w:val="00BC6777"/>
    <w:rsid w:val="00BD4691"/>
    <w:rsid w:val="00BD7281"/>
    <w:rsid w:val="00BE472B"/>
    <w:rsid w:val="00BF20C8"/>
    <w:rsid w:val="00BF76B5"/>
    <w:rsid w:val="00C1270E"/>
    <w:rsid w:val="00C15A7E"/>
    <w:rsid w:val="00C173E9"/>
    <w:rsid w:val="00C17E24"/>
    <w:rsid w:val="00C212B5"/>
    <w:rsid w:val="00C353A9"/>
    <w:rsid w:val="00C441BB"/>
    <w:rsid w:val="00C86679"/>
    <w:rsid w:val="00CD68F0"/>
    <w:rsid w:val="00CF296F"/>
    <w:rsid w:val="00CF2CC7"/>
    <w:rsid w:val="00D35E98"/>
    <w:rsid w:val="00DA75EE"/>
    <w:rsid w:val="00DC0225"/>
    <w:rsid w:val="00DF043F"/>
    <w:rsid w:val="00E06DAF"/>
    <w:rsid w:val="00E10657"/>
    <w:rsid w:val="00E20E01"/>
    <w:rsid w:val="00E27752"/>
    <w:rsid w:val="00E518D2"/>
    <w:rsid w:val="00E850FE"/>
    <w:rsid w:val="00E901F4"/>
    <w:rsid w:val="00E93DA5"/>
    <w:rsid w:val="00EA39D5"/>
    <w:rsid w:val="00EB7DAD"/>
    <w:rsid w:val="00EC3F59"/>
    <w:rsid w:val="00ED6710"/>
    <w:rsid w:val="00EE0362"/>
    <w:rsid w:val="00EE3A79"/>
    <w:rsid w:val="00EF6A13"/>
    <w:rsid w:val="00F147FA"/>
    <w:rsid w:val="00F3193C"/>
    <w:rsid w:val="00F34E46"/>
    <w:rsid w:val="00F46AD4"/>
    <w:rsid w:val="00F82D33"/>
    <w:rsid w:val="00FA5293"/>
    <w:rsid w:val="00FD1D77"/>
    <w:rsid w:val="00FD20CE"/>
    <w:rsid w:val="00FE24F0"/>
    <w:rsid w:val="00FF26EB"/>
    <w:rsid w:val="00FF5439"/>
    <w:rsid w:val="1BDF61A4"/>
    <w:rsid w:val="76777798"/>
    <w:rsid w:val="7FF86510"/>
    <w:rsid w:val="CEFE5A3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semiHidden/>
    <w:qFormat/>
    <w:uiPriority w:val="99"/>
    <w:pPr>
      <w:ind w:left="100" w:leftChars="2500"/>
    </w:pPr>
  </w:style>
  <w:style w:type="paragraph" w:styleId="3">
    <w:name w:val="Balloon Text"/>
    <w:basedOn w:val="1"/>
    <w:link w:val="11"/>
    <w:semiHidden/>
    <w:qFormat/>
    <w:uiPriority w:val="99"/>
    <w:rPr>
      <w:sz w:val="18"/>
      <w:szCs w:val="18"/>
    </w:rPr>
  </w:style>
  <w:style w:type="paragraph" w:styleId="4">
    <w:name w:val="footer"/>
    <w:basedOn w:val="1"/>
    <w:link w:val="9"/>
    <w:qFormat/>
    <w:uiPriority w:val="99"/>
    <w:pPr>
      <w:tabs>
        <w:tab w:val="center" w:pos="4153"/>
        <w:tab w:val="right" w:pos="8306"/>
      </w:tabs>
      <w:snapToGrid w:val="0"/>
      <w:jc w:val="left"/>
    </w:pPr>
    <w:rPr>
      <w:sz w:val="18"/>
      <w:szCs w:val="18"/>
    </w:rPr>
  </w:style>
  <w:style w:type="paragraph" w:styleId="5">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link w:val="5"/>
    <w:qFormat/>
    <w:locked/>
    <w:uiPriority w:val="99"/>
    <w:rPr>
      <w:rFonts w:cs="Times New Roman"/>
      <w:sz w:val="18"/>
      <w:szCs w:val="18"/>
    </w:rPr>
  </w:style>
  <w:style w:type="character" w:customStyle="1" w:styleId="9">
    <w:name w:val="页脚 Char"/>
    <w:link w:val="4"/>
    <w:qFormat/>
    <w:locked/>
    <w:uiPriority w:val="99"/>
    <w:rPr>
      <w:rFonts w:cs="Times New Roman"/>
      <w:sz w:val="18"/>
      <w:szCs w:val="18"/>
    </w:rPr>
  </w:style>
  <w:style w:type="character" w:customStyle="1" w:styleId="10">
    <w:name w:val="日期 Char"/>
    <w:link w:val="2"/>
    <w:semiHidden/>
    <w:qFormat/>
    <w:locked/>
    <w:uiPriority w:val="99"/>
    <w:rPr>
      <w:rFonts w:ascii="Calibri" w:hAnsi="Calibri" w:eastAsia="宋体" w:cs="Times New Roman"/>
      <w:sz w:val="24"/>
      <w:szCs w:val="24"/>
    </w:rPr>
  </w:style>
  <w:style w:type="character" w:customStyle="1" w:styleId="11">
    <w:name w:val="批注框文本 Char"/>
    <w:link w:val="3"/>
    <w:semiHidden/>
    <w:qFormat/>
    <w:locked/>
    <w:uiPriority w:val="99"/>
    <w:rPr>
      <w:rFonts w:ascii="Calibri" w:hAnsi="Calibri" w:eastAsia="宋体" w:cs="Times New Roman"/>
      <w:sz w:val="18"/>
      <w:szCs w:val="18"/>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329</Words>
  <Characters>1877</Characters>
  <Lines>15</Lines>
  <Paragraphs>4</Paragraphs>
  <TotalTime>351</TotalTime>
  <ScaleCrop>false</ScaleCrop>
  <LinksUpToDate>false</LinksUpToDate>
  <CharactersWithSpaces>2202</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2019-05-24T00:33:00Z</dcterms:created>
  <dc:creator>王子琦</dc:creator>
  <cp:lastModifiedBy>admin</cp:lastModifiedBy>
  <cp:lastPrinted>2022-07-01T00:03:00Z</cp:lastPrinted>
  <dcterms:modified xsi:type="dcterms:W3CDTF">2022-12-02T09:40:13Z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