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center"/>
        <w:rPr>
          <w:rFonts w:ascii="Times New Roman" w:hAnsi="Times New Roman" w:eastAsia="方正小标宋简体" w:cs="Times New Roman"/>
          <w:color w:val="000000"/>
          <w:sz w:val="44"/>
          <w:szCs w:val="44"/>
          <w:u w:val="none"/>
        </w:rPr>
      </w:pPr>
      <w:r>
        <w:rPr>
          <w:rFonts w:hint="eastAsia" w:ascii="Times New Roman" w:hAnsi="Times New Roman" w:eastAsia="方正小标宋简体" w:cs="方正小标宋简体"/>
          <w:color w:val="000000"/>
          <w:sz w:val="44"/>
          <w:szCs w:val="44"/>
          <w:u w:val="none"/>
        </w:rPr>
        <w:t>天津市北辰区市场监督管理局</w:t>
      </w:r>
    </w:p>
    <w:p>
      <w:pPr>
        <w:spacing w:line="640" w:lineRule="exact"/>
        <w:jc w:val="center"/>
        <w:rPr>
          <w:rFonts w:ascii="Times New Roman" w:hAnsi="Times New Roman" w:eastAsia="方正小标宋简体" w:cs="Times New Roman"/>
          <w:color w:val="000000"/>
          <w:sz w:val="44"/>
          <w:szCs w:val="44"/>
          <w:u w:val="none"/>
        </w:rPr>
      </w:pPr>
      <w:r>
        <w:rPr>
          <w:rFonts w:hint="eastAsia" w:ascii="Times New Roman" w:hAnsi="Times New Roman" w:eastAsia="方正小标宋简体" w:cs="方正小标宋简体"/>
          <w:color w:val="000000"/>
          <w:sz w:val="44"/>
          <w:szCs w:val="44"/>
          <w:u w:val="none"/>
        </w:rPr>
        <w:t>行政处罚决定书</w:t>
      </w:r>
    </w:p>
    <w:p>
      <w:pPr>
        <w:wordWrap w:val="0"/>
        <w:snapToGrid w:val="0"/>
        <w:spacing w:before="312" w:beforeLines="100" w:after="312" w:afterLines="100" w:line="520" w:lineRule="exact"/>
        <w:jc w:val="center"/>
        <w:rPr>
          <w:rFonts w:ascii="Times New Roman" w:hAnsi="Times New Roman" w:eastAsia="仿宋_GB2312" w:cs="Times New Roman"/>
          <w:color w:val="000000"/>
          <w:sz w:val="32"/>
          <w:szCs w:val="32"/>
          <w:u w:val="none"/>
        </w:rPr>
      </w:pPr>
      <w:r>
        <w:rPr>
          <w:u w:val="none"/>
        </w:rPr>
        <mc:AlternateContent>
          <mc:Choice Requires="wps">
            <w:drawing>
              <wp:anchor distT="0" distB="0" distL="114300" distR="114300" simplePos="0" relativeHeight="251658240" behindDoc="0" locked="0" layoutInCell="1" allowOverlap="1">
                <wp:simplePos x="0" y="0"/>
                <wp:positionH relativeFrom="column">
                  <wp:posOffset>25400</wp:posOffset>
                </wp:positionH>
                <wp:positionV relativeFrom="paragraph">
                  <wp:posOffset>20802600</wp:posOffset>
                </wp:positionV>
                <wp:extent cx="5761990" cy="1270"/>
                <wp:effectExtent l="15875" t="12700" r="13335" b="14605"/>
                <wp:wrapNone/>
                <wp:docPr id="3" name="直接箭头连接符 10"/>
                <wp:cNvGraphicFramePr/>
                <a:graphic xmlns:a="http://schemas.openxmlformats.org/drawingml/2006/main">
                  <a:graphicData uri="http://schemas.microsoft.com/office/word/2010/wordprocessingShape">
                    <wps:wsp>
                      <wps:cNvCnPr>
                        <a:cxnSpLocks noChangeShapeType="true"/>
                      </wps:cNvCnPr>
                      <wps:spPr bwMode="auto">
                        <a:xfrm>
                          <a:off x="0" y="0"/>
                          <a:ext cx="5761990" cy="1270"/>
                        </a:xfrm>
                        <a:prstGeom prst="straightConnector1">
                          <a:avLst/>
                        </a:prstGeom>
                        <a:noFill/>
                        <a:ln w="19050" cap="sq">
                          <a:solidFill>
                            <a:srgbClr val="000000"/>
                          </a:solidFill>
                          <a:round/>
                        </a:ln>
                      </wps:spPr>
                      <wps:bodyPr/>
                    </wps:wsp>
                  </a:graphicData>
                </a:graphic>
              </wp:anchor>
            </w:drawing>
          </mc:Choice>
          <mc:Fallback>
            <w:pict>
              <v:shape id="直接箭头连接符 10" o:spid="_x0000_s1026" o:spt="32" type="#_x0000_t32" style="position:absolute;left:0pt;margin-left:2pt;margin-top:1638pt;height:0.1pt;width:453.7pt;z-index:251658240;mso-width-relative:page;mso-height-relative:page;" filled="f" stroked="t" coordsize="21600,21600" o:gfxdata="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BYAAABk&#10;cnMvUEsBAhQAFAAAAAgAh07iQIteKJraAAAACwEAAA8AAAAAAAAAAQAgAAAAOAAAAGRycy9kb3du&#10;cmV2LnhtbFBLAQIUABQAAAAIAIdO4kAlwMY75wEAAIEDAAAOAAAAAAAAAAEAIAAAAD8BAABkcnMv&#10;ZTJvRG9jLnhtbFBLBQYAAAAABgAGAFkBAACYBQAAAAA=&#10;">
                <v:fill on="f" focussize="0,0"/>
                <v:stroke weight="1.5pt" color="#000000" joinstyle="round" endcap="square"/>
                <v:imagedata o:title=""/>
                <o:lock v:ext="edit" aspectratio="f"/>
              </v:shape>
            </w:pict>
          </mc:Fallback>
        </mc:AlternateContent>
      </w:r>
      <w:r>
        <w:rPr>
          <w:rFonts w:hint="eastAsia" w:ascii="Times New Roman" w:hAnsi="Times New Roman" w:eastAsia="仿宋_GB2312" w:cs="仿宋_GB2312"/>
          <w:color w:val="000000"/>
          <w:sz w:val="32"/>
          <w:szCs w:val="32"/>
          <w:u w:val="none"/>
        </w:rPr>
        <w:t>津辰</w:t>
      </w:r>
      <w:r>
        <w:rPr>
          <w:rFonts w:hint="eastAsia" w:ascii="Times New Roman" w:hAnsi="Times New Roman" w:eastAsia="仿宋_GB2312" w:cs="仿宋_GB2312"/>
          <w:color w:val="000000"/>
          <w:sz w:val="32"/>
          <w:szCs w:val="32"/>
          <w:u w:val="none"/>
        </w:rPr>
        <w:t>市监</w:t>
      </w:r>
      <w:r>
        <w:rPr>
          <w:rFonts w:hint="eastAsia" w:ascii="Times New Roman" w:hAnsi="Times New Roman" w:eastAsia="仿宋_GB2312" w:cs="仿宋_GB2312"/>
          <w:color w:val="000000"/>
          <w:sz w:val="32"/>
          <w:szCs w:val="32"/>
          <w:u w:val="none"/>
        </w:rPr>
        <w:t>处罚</w:t>
      </w:r>
      <w:r>
        <w:rPr>
          <w:rFonts w:hint="eastAsia" w:ascii="Times New Roman" w:hAnsi="Times New Roman" w:eastAsia="仿宋_GB2312" w:cs="仿宋_GB2312"/>
          <w:color w:val="000000"/>
          <w:sz w:val="32"/>
          <w:szCs w:val="32"/>
          <w:u w:val="none"/>
        </w:rPr>
        <w:t>〔</w:t>
      </w:r>
      <w:r>
        <w:rPr>
          <w:rFonts w:ascii="Times New Roman" w:hAnsi="Times New Roman" w:eastAsia="仿宋_GB2312" w:cs="Times New Roman"/>
          <w:color w:val="000000"/>
          <w:sz w:val="32"/>
          <w:szCs w:val="32"/>
          <w:u w:val="none"/>
        </w:rPr>
        <w:t>2022</w:t>
      </w:r>
      <w:r>
        <w:rPr>
          <w:rFonts w:hint="eastAsia" w:ascii="Times New Roman" w:hAnsi="Times New Roman" w:eastAsia="仿宋_GB2312" w:cs="仿宋_GB2312"/>
          <w:color w:val="000000"/>
          <w:sz w:val="32"/>
          <w:szCs w:val="32"/>
          <w:u w:val="none"/>
        </w:rPr>
        <w:t>〕</w:t>
      </w:r>
      <w:r>
        <w:rPr>
          <w:rFonts w:ascii="Times New Roman" w:hAnsi="Times New Roman" w:eastAsia="仿宋_GB2312" w:cs="Times New Roman"/>
          <w:color w:val="000000"/>
          <w:sz w:val="32"/>
          <w:szCs w:val="32"/>
          <w:u w:val="none"/>
        </w:rPr>
        <w:t xml:space="preserve"> 640 </w:t>
      </w:r>
      <w:r>
        <w:rPr>
          <w:rFonts w:hint="eastAsia" w:ascii="Times New Roman" w:hAnsi="Times New Roman" w:eastAsia="仿宋_GB2312" w:cs="仿宋_GB2312"/>
          <w:color w:val="000000"/>
          <w:sz w:val="32"/>
          <w:szCs w:val="32"/>
          <w:u w:val="none"/>
        </w:rPr>
        <w:t>号</w:t>
      </w:r>
    </w:p>
    <w:p>
      <w:pPr>
        <w:spacing w:line="460" w:lineRule="exact"/>
        <w:rPr>
          <w:rFonts w:ascii="仿宋_GB2312" w:eastAsia="仿宋_GB2312" w:cs="仿宋_GB2312"/>
          <w:sz w:val="32"/>
          <w:szCs w:val="32"/>
          <w:u w:val="none"/>
        </w:rPr>
      </w:pPr>
      <w:r>
        <w:rPr>
          <w:rFonts w:hint="eastAsia" w:ascii="仿宋_GB2312" w:eastAsia="仿宋_GB2312" w:cs="仿宋_GB2312"/>
          <w:sz w:val="32"/>
          <w:szCs w:val="32"/>
          <w:u w:val="none"/>
        </w:rPr>
        <w:t>当事人：</w:t>
      </w:r>
      <w:r>
        <w:rPr>
          <w:rFonts w:hint="eastAsia" w:ascii="Times New Roman" w:hAnsi="Times New Roman" w:eastAsia="仿宋_GB2312" w:cs="仿宋_GB2312"/>
          <w:sz w:val="32"/>
          <w:szCs w:val="32"/>
          <w:u w:val="none"/>
        </w:rPr>
        <w:t>天津市北辰区天鑫手机经营店（涂军平）</w:t>
      </w:r>
      <w:r>
        <w:rPr>
          <w:rFonts w:ascii="Times New Roman" w:hAnsi="Times New Roman" w:eastAsia="仿宋_GB2312" w:cs="Times New Roman"/>
          <w:sz w:val="32"/>
          <w:szCs w:val="32"/>
          <w:u w:val="none"/>
        </w:rPr>
        <w:t xml:space="preserve"> </w:t>
      </w:r>
      <w:r>
        <w:rPr>
          <w:rFonts w:ascii="仿宋_GB2312" w:eastAsia="仿宋_GB2312" w:cs="仿宋_GB2312"/>
          <w:sz w:val="32"/>
          <w:szCs w:val="32"/>
          <w:u w:val="none"/>
        </w:rPr>
        <w:t xml:space="preserve">                                   </w:t>
      </w:r>
    </w:p>
    <w:p>
      <w:pPr>
        <w:spacing w:line="460" w:lineRule="exact"/>
        <w:ind w:left="140" w:hanging="140"/>
        <w:rPr>
          <w:rFonts w:ascii="仿宋_GB2312" w:eastAsia="仿宋_GB2312" w:cs="仿宋_GB2312"/>
          <w:sz w:val="32"/>
          <w:szCs w:val="32"/>
          <w:u w:val="none"/>
        </w:rPr>
      </w:pPr>
      <w:r>
        <w:rPr>
          <w:rFonts w:hint="eastAsia" w:ascii="仿宋_GB2312" w:eastAsia="仿宋_GB2312" w:cs="仿宋_GB2312"/>
          <w:sz w:val="32"/>
          <w:szCs w:val="32"/>
          <w:u w:val="none"/>
        </w:rPr>
        <w:t>主体资格证照名称：营业执照</w:t>
      </w:r>
      <w:r>
        <w:rPr>
          <w:rFonts w:ascii="仿宋_GB2312" w:eastAsia="仿宋_GB2312" w:cs="仿宋_GB2312"/>
          <w:sz w:val="32"/>
          <w:szCs w:val="32"/>
          <w:u w:val="none"/>
        </w:rPr>
        <w:t xml:space="preserve">                         </w:t>
      </w:r>
    </w:p>
    <w:p>
      <w:pPr>
        <w:spacing w:line="460" w:lineRule="exact"/>
        <w:ind w:left="140" w:hanging="140"/>
        <w:rPr>
          <w:rFonts w:ascii="Times New Roman" w:hAnsi="Times New Roman" w:eastAsia="仿宋_GB2312" w:cs="Times New Roman"/>
          <w:sz w:val="32"/>
          <w:szCs w:val="32"/>
          <w:u w:val="none"/>
        </w:rPr>
      </w:pPr>
      <w:r>
        <w:rPr>
          <w:rFonts w:hint="eastAsia" w:ascii="仿宋_GB2312" w:eastAsia="仿宋_GB2312" w:cs="仿宋_GB2312"/>
          <w:sz w:val="32"/>
          <w:szCs w:val="32"/>
          <w:u w:val="none"/>
        </w:rPr>
        <w:t>统一社会信用代码：</w:t>
      </w:r>
      <w:r>
        <w:rPr>
          <w:rFonts w:ascii="Times New Roman" w:hAnsi="Times New Roman" w:eastAsia="仿宋_GB2312" w:cs="Times New Roman"/>
          <w:sz w:val="32"/>
          <w:szCs w:val="32"/>
          <w:u w:val="none"/>
        </w:rPr>
        <w:t>92120113MA05W01TXJ</w:t>
      </w:r>
      <w:r>
        <w:rPr>
          <w:rFonts w:ascii="仿宋_GB2312" w:eastAsia="仿宋_GB2312" w:cs="仿宋_GB2312"/>
          <w:sz w:val="32"/>
          <w:szCs w:val="32"/>
          <w:u w:val="none"/>
        </w:rPr>
        <w:t xml:space="preserve">                                </w:t>
      </w:r>
    </w:p>
    <w:p>
      <w:pPr>
        <w:adjustRightInd w:val="0"/>
        <w:snapToGrid w:val="0"/>
        <w:spacing w:line="520" w:lineRule="exact"/>
        <w:jc w:val="left"/>
        <w:rPr>
          <w:rFonts w:ascii="Times New Roman" w:hAnsi="Times New Roman" w:eastAsia="仿宋_GB2312" w:cs="Times New Roman"/>
          <w:sz w:val="32"/>
          <w:szCs w:val="32"/>
          <w:u w:val="none"/>
        </w:rPr>
      </w:pPr>
      <w:r>
        <w:rPr>
          <w:rFonts w:hint="eastAsia" w:ascii="仿宋_GB2312" w:eastAsia="仿宋_GB2312" w:cs="仿宋_GB2312"/>
          <w:sz w:val="32"/>
          <w:szCs w:val="32"/>
          <w:u w:val="none"/>
        </w:rPr>
        <w:t>经营场所：</w:t>
      </w:r>
      <w:r>
        <w:rPr>
          <w:rFonts w:hint="eastAsia" w:ascii="Times New Roman" w:hAnsi="Times New Roman" w:eastAsia="仿宋_GB2312" w:cs="仿宋_GB2312"/>
          <w:sz w:val="32"/>
          <w:szCs w:val="32"/>
          <w:u w:val="none"/>
        </w:rPr>
        <w:t>天津市北辰区集贤里街顺和里底商103号</w:t>
      </w:r>
    </w:p>
    <w:p>
      <w:pPr>
        <w:spacing w:line="460" w:lineRule="exact"/>
        <w:rPr>
          <w:rFonts w:ascii="仿宋_GB2312" w:eastAsia="仿宋_GB2312" w:cs="仿宋_GB2312"/>
          <w:sz w:val="32"/>
          <w:szCs w:val="32"/>
          <w:u w:val="none"/>
        </w:rPr>
      </w:pPr>
      <w:r>
        <w:rPr>
          <w:rFonts w:hint="eastAsia" w:ascii="仿宋_GB2312" w:eastAsia="仿宋_GB2312" w:cs="仿宋_GB2312"/>
          <w:sz w:val="32"/>
          <w:szCs w:val="32"/>
          <w:u w:val="none"/>
        </w:rPr>
        <w:t>经营者：</w:t>
      </w:r>
      <w:r>
        <w:rPr>
          <w:rFonts w:hint="eastAsia" w:ascii="Times New Roman" w:hAnsi="Times New Roman" w:eastAsia="仿宋_GB2312" w:cs="仿宋_GB2312"/>
          <w:sz w:val="32"/>
          <w:szCs w:val="32"/>
          <w:u w:val="none"/>
        </w:rPr>
        <w:t>涂军平</w:t>
      </w:r>
      <w:r>
        <w:rPr>
          <w:rFonts w:ascii="仿宋_GB2312" w:eastAsia="仿宋_GB2312" w:cs="仿宋_GB2312"/>
          <w:sz w:val="32"/>
          <w:szCs w:val="32"/>
          <w:u w:val="none"/>
        </w:rPr>
        <w:t xml:space="preserve">                                   </w:t>
      </w:r>
    </w:p>
    <w:p>
      <w:pPr>
        <w:spacing w:line="460" w:lineRule="exact"/>
        <w:rPr>
          <w:rFonts w:ascii="仿宋_GB2312" w:eastAsia="仿宋_GB2312" w:cs="仿宋_GB2312"/>
          <w:sz w:val="32"/>
          <w:szCs w:val="32"/>
          <w:u w:val="none"/>
        </w:rPr>
      </w:pPr>
      <w:r>
        <w:rPr>
          <w:rFonts w:hint="eastAsia" w:ascii="仿宋_GB2312" w:eastAsia="仿宋_GB2312" w:cs="仿宋_GB2312"/>
          <w:sz w:val="32"/>
          <w:szCs w:val="32"/>
          <w:u w:val="none"/>
        </w:rPr>
        <w:t>身份证号码：</w:t>
      </w:r>
      <w:r>
        <w:rPr>
          <w:rFonts w:hint="eastAsia" w:ascii="仿宋_GB2312" w:eastAsia="仿宋_GB2312" w:cs="仿宋_GB2312"/>
          <w:sz w:val="32"/>
          <w:szCs w:val="32"/>
          <w:u w:val="none"/>
          <w:lang w:val="en-US" w:eastAsia="zh-CN"/>
        </w:rPr>
        <w:t>/</w:t>
      </w:r>
      <w:r>
        <w:rPr>
          <w:rFonts w:ascii="仿宋_GB2312" w:eastAsia="仿宋_GB2312" w:cs="仿宋_GB2312"/>
          <w:sz w:val="32"/>
          <w:szCs w:val="32"/>
          <w:u w:val="none"/>
        </w:rPr>
        <w:t xml:space="preserve"> </w:t>
      </w:r>
      <w:r>
        <w:rPr>
          <w:rFonts w:ascii="Times New Roman" w:hAnsi="Times New Roman" w:eastAsia="仿宋_GB2312" w:cs="Times New Roman"/>
          <w:sz w:val="32"/>
          <w:szCs w:val="32"/>
          <w:u w:val="none"/>
        </w:rPr>
        <w:t xml:space="preserve">  </w:t>
      </w:r>
      <w:r>
        <w:rPr>
          <w:rFonts w:ascii="仿宋_GB2312" w:eastAsia="仿宋_GB2312" w:cs="仿宋_GB2312"/>
          <w:sz w:val="32"/>
          <w:szCs w:val="32"/>
          <w:u w:val="none"/>
        </w:rPr>
        <w:t xml:space="preserve">                </w:t>
      </w:r>
    </w:p>
    <w:p>
      <w:pPr>
        <w:spacing w:line="460" w:lineRule="exact"/>
        <w:ind w:left="140" w:hanging="140"/>
        <w:rPr>
          <w:rFonts w:ascii="仿宋_GB2312" w:eastAsia="仿宋_GB2312" w:cs="仿宋_GB2312"/>
          <w:sz w:val="32"/>
          <w:szCs w:val="32"/>
          <w:u w:val="none"/>
        </w:rPr>
      </w:pPr>
      <w:r>
        <w:rPr>
          <w:rFonts w:hint="eastAsia" w:ascii="仿宋_GB2312" w:eastAsia="仿宋_GB2312" w:cs="仿宋_GB2312"/>
          <w:sz w:val="32"/>
          <w:szCs w:val="32"/>
          <w:u w:val="none"/>
        </w:rPr>
        <w:t>联系电话：</w:t>
      </w:r>
      <w:r>
        <w:rPr>
          <w:rFonts w:hint="eastAsia" w:ascii="仿宋_GB2312" w:eastAsia="仿宋_GB2312" w:cs="仿宋_GB2312"/>
          <w:sz w:val="32"/>
          <w:szCs w:val="32"/>
          <w:u w:val="none"/>
          <w:lang w:val="en-US" w:eastAsia="zh-CN"/>
        </w:rPr>
        <w:t>/</w:t>
      </w:r>
      <w:r>
        <w:rPr>
          <w:rFonts w:ascii="仿宋_GB2312" w:eastAsia="仿宋_GB2312" w:cs="仿宋_GB2312"/>
          <w:sz w:val="32"/>
          <w:szCs w:val="32"/>
          <w:u w:val="none"/>
        </w:rPr>
        <w:t xml:space="preserve">    </w:t>
      </w:r>
      <w:r>
        <w:rPr>
          <w:rFonts w:hint="eastAsia" w:ascii="仿宋_GB2312" w:eastAsia="仿宋_GB2312" w:cs="仿宋_GB2312"/>
          <w:sz w:val="32"/>
          <w:szCs w:val="32"/>
          <w:u w:val="none"/>
        </w:rPr>
        <w:t>其他联系方式：无</w:t>
      </w:r>
      <w:r>
        <w:rPr>
          <w:rFonts w:ascii="仿宋_GB2312" w:eastAsia="仿宋_GB2312" w:cs="仿宋_GB2312"/>
          <w:sz w:val="32"/>
          <w:szCs w:val="32"/>
          <w:u w:val="none"/>
        </w:rPr>
        <w:t xml:space="preserve">      </w:t>
      </w:r>
    </w:p>
    <w:p>
      <w:pPr>
        <w:spacing w:line="460" w:lineRule="exact"/>
        <w:ind w:left="140" w:hanging="140"/>
        <w:rPr>
          <w:rFonts w:hint="eastAsia" w:ascii="Times New Roman" w:hAnsi="Times New Roman" w:eastAsia="仿宋_GB2312" w:cs="Times New Roman"/>
          <w:sz w:val="32"/>
          <w:szCs w:val="32"/>
          <w:u w:val="none"/>
          <w:lang w:val="en-US" w:eastAsia="zh-CN"/>
        </w:rPr>
      </w:pPr>
      <w:r>
        <w:rPr>
          <w:rFonts w:hint="eastAsia" w:ascii="仿宋_GB2312" w:eastAsia="仿宋_GB2312" w:cs="仿宋_GB2312"/>
          <w:sz w:val="32"/>
          <w:szCs w:val="32"/>
          <w:u w:val="none"/>
        </w:rPr>
        <w:t>联系地址：</w:t>
      </w:r>
      <w:r>
        <w:rPr>
          <w:rFonts w:hint="eastAsia" w:ascii="Times New Roman" w:hAnsi="Times New Roman" w:eastAsia="仿宋_GB2312" w:cs="仿宋_GB2312"/>
          <w:sz w:val="32"/>
          <w:szCs w:val="32"/>
          <w:u w:val="none"/>
          <w:lang w:val="en-US" w:eastAsia="zh-CN"/>
        </w:rPr>
        <w:t>/</w:t>
      </w:r>
    </w:p>
    <w:p>
      <w:pPr>
        <w:snapToGrid w:val="0"/>
        <w:spacing w:line="460" w:lineRule="exact"/>
        <w:ind w:firstLine="640" w:firstLineChars="200"/>
        <w:rPr>
          <w:rFonts w:ascii="仿宋_GB2312" w:eastAsia="仿宋_GB2312" w:cs="仿宋_GB2312"/>
          <w:sz w:val="32"/>
          <w:szCs w:val="32"/>
          <w:u w:val="none"/>
        </w:rPr>
      </w:pPr>
      <w:r>
        <w:rPr>
          <w:rFonts w:ascii="仿宋_GB2312" w:eastAsia="仿宋_GB2312" w:cs="仿宋_GB2312"/>
          <w:sz w:val="32"/>
          <w:szCs w:val="32"/>
          <w:u w:val="none"/>
        </w:rPr>
        <w:t>2022</w:t>
      </w:r>
      <w:r>
        <w:rPr>
          <w:rFonts w:hint="eastAsia" w:ascii="仿宋_GB2312" w:eastAsia="仿宋_GB2312" w:cs="仿宋_GB2312"/>
          <w:sz w:val="32"/>
          <w:szCs w:val="32"/>
          <w:u w:val="none"/>
        </w:rPr>
        <w:t>年</w:t>
      </w:r>
      <w:r>
        <w:rPr>
          <w:rFonts w:ascii="仿宋_GB2312" w:eastAsia="仿宋_GB2312" w:cs="仿宋_GB2312"/>
          <w:sz w:val="32"/>
          <w:szCs w:val="32"/>
          <w:u w:val="none"/>
        </w:rPr>
        <w:t>10</w:t>
      </w:r>
      <w:r>
        <w:rPr>
          <w:rFonts w:hint="eastAsia" w:ascii="仿宋_GB2312" w:eastAsia="仿宋_GB2312" w:cs="仿宋_GB2312"/>
          <w:sz w:val="32"/>
          <w:szCs w:val="32"/>
          <w:u w:val="none"/>
        </w:rPr>
        <w:t>月</w:t>
      </w:r>
      <w:r>
        <w:rPr>
          <w:rFonts w:ascii="仿宋_GB2312" w:eastAsia="仿宋_GB2312" w:cs="仿宋_GB2312"/>
          <w:sz w:val="32"/>
          <w:szCs w:val="32"/>
          <w:u w:val="none"/>
        </w:rPr>
        <w:t>29</w:t>
      </w:r>
      <w:r>
        <w:rPr>
          <w:rFonts w:hint="eastAsia" w:ascii="仿宋_GB2312" w:eastAsia="仿宋_GB2312" w:cs="仿宋_GB2312"/>
          <w:sz w:val="32"/>
          <w:szCs w:val="32"/>
          <w:u w:val="none"/>
        </w:rPr>
        <w:t>日我局执法人员到天津市北辰区天鑫手机经营店进行检查，发现其经营场所内开展</w:t>
      </w:r>
      <w:r>
        <w:rPr>
          <w:rFonts w:ascii="仿宋_GB2312" w:eastAsia="仿宋_GB2312" w:cs="仿宋_GB2312"/>
          <w:sz w:val="32"/>
          <w:szCs w:val="32"/>
          <w:u w:val="none"/>
        </w:rPr>
        <w:t>复印、打印业务</w:t>
      </w:r>
      <w:r>
        <w:rPr>
          <w:rFonts w:hint="eastAsia" w:ascii="仿宋_GB2312" w:eastAsia="仿宋_GB2312" w:cs="仿宋_GB2312"/>
          <w:sz w:val="32"/>
          <w:szCs w:val="32"/>
          <w:u w:val="none"/>
        </w:rPr>
        <w:t>，现场未发现价格标签。经局领导批准，执法人员于</w:t>
      </w:r>
      <w:r>
        <w:rPr>
          <w:rFonts w:ascii="仿宋_GB2312" w:eastAsia="仿宋_GB2312" w:cs="仿宋_GB2312"/>
          <w:sz w:val="32"/>
          <w:szCs w:val="32"/>
          <w:u w:val="none"/>
        </w:rPr>
        <w:t>2022</w:t>
      </w:r>
      <w:r>
        <w:rPr>
          <w:rFonts w:hint="eastAsia" w:ascii="仿宋_GB2312" w:eastAsia="仿宋_GB2312" w:cs="仿宋_GB2312"/>
          <w:sz w:val="32"/>
          <w:szCs w:val="32"/>
          <w:u w:val="none"/>
        </w:rPr>
        <w:t>年</w:t>
      </w:r>
      <w:r>
        <w:rPr>
          <w:rFonts w:ascii="仿宋_GB2312" w:eastAsia="仿宋_GB2312" w:cs="仿宋_GB2312"/>
          <w:sz w:val="32"/>
          <w:szCs w:val="32"/>
          <w:u w:val="none"/>
        </w:rPr>
        <w:t>10</w:t>
      </w:r>
      <w:r>
        <w:rPr>
          <w:rFonts w:hint="eastAsia" w:ascii="仿宋_GB2312" w:eastAsia="仿宋_GB2312" w:cs="仿宋_GB2312"/>
          <w:sz w:val="32"/>
          <w:szCs w:val="32"/>
          <w:u w:val="none"/>
        </w:rPr>
        <w:t>月</w:t>
      </w:r>
      <w:r>
        <w:rPr>
          <w:rFonts w:ascii="仿宋_GB2312" w:eastAsia="仿宋_GB2312" w:cs="仿宋_GB2312"/>
          <w:sz w:val="32"/>
          <w:szCs w:val="32"/>
          <w:u w:val="none"/>
        </w:rPr>
        <w:t>29</w:t>
      </w:r>
      <w:r>
        <w:rPr>
          <w:rFonts w:hint="eastAsia" w:ascii="仿宋_GB2312" w:eastAsia="仿宋_GB2312" w:cs="仿宋_GB2312"/>
          <w:sz w:val="32"/>
          <w:szCs w:val="32"/>
          <w:u w:val="none"/>
        </w:rPr>
        <w:t>日予以立案调查。本案于</w:t>
      </w:r>
      <w:r>
        <w:rPr>
          <w:rFonts w:ascii="仿宋_GB2312" w:eastAsia="仿宋_GB2312" w:cs="仿宋_GB2312"/>
          <w:sz w:val="32"/>
          <w:szCs w:val="32"/>
          <w:u w:val="none"/>
        </w:rPr>
        <w:t>2022</w:t>
      </w:r>
      <w:r>
        <w:rPr>
          <w:rFonts w:hint="eastAsia" w:ascii="仿宋_GB2312" w:eastAsia="仿宋_GB2312" w:cs="仿宋_GB2312"/>
          <w:sz w:val="32"/>
          <w:szCs w:val="32"/>
          <w:u w:val="none"/>
        </w:rPr>
        <w:t>年</w:t>
      </w:r>
      <w:r>
        <w:rPr>
          <w:rFonts w:ascii="仿宋_GB2312" w:eastAsia="仿宋_GB2312" w:cs="仿宋_GB2312"/>
          <w:sz w:val="32"/>
          <w:szCs w:val="32"/>
          <w:u w:val="none"/>
        </w:rPr>
        <w:t>12</w:t>
      </w:r>
      <w:r>
        <w:rPr>
          <w:rFonts w:hint="eastAsia" w:ascii="仿宋_GB2312" w:eastAsia="仿宋_GB2312" w:cs="仿宋_GB2312"/>
          <w:sz w:val="32"/>
          <w:szCs w:val="32"/>
          <w:u w:val="none"/>
        </w:rPr>
        <w:t>月</w:t>
      </w:r>
      <w:r>
        <w:rPr>
          <w:rFonts w:ascii="仿宋_GB2312" w:eastAsia="仿宋_GB2312" w:cs="仿宋_GB2312"/>
          <w:sz w:val="32"/>
          <w:szCs w:val="32"/>
          <w:u w:val="none"/>
        </w:rPr>
        <w:t>20</w:t>
      </w:r>
      <w:r>
        <w:rPr>
          <w:rFonts w:hint="eastAsia" w:ascii="仿宋_GB2312" w:eastAsia="仿宋_GB2312" w:cs="仿宋_GB2312"/>
          <w:sz w:val="32"/>
          <w:szCs w:val="32"/>
          <w:u w:val="none"/>
        </w:rPr>
        <w:t>日调查终结。</w:t>
      </w:r>
    </w:p>
    <w:p>
      <w:pPr>
        <w:snapToGrid w:val="0"/>
        <w:spacing w:line="460" w:lineRule="exact"/>
        <w:ind w:firstLine="640" w:firstLineChars="200"/>
        <w:rPr>
          <w:rFonts w:ascii="仿宋_GB2312" w:eastAsia="仿宋_GB2312" w:cs="仿宋_GB2312"/>
          <w:sz w:val="32"/>
          <w:szCs w:val="32"/>
          <w:u w:val="none"/>
        </w:rPr>
      </w:pPr>
      <w:r>
        <w:rPr>
          <w:rFonts w:hint="eastAsia" w:ascii="仿宋_GB2312" w:eastAsia="仿宋_GB2312" w:cs="仿宋_GB2312"/>
          <w:sz w:val="32"/>
          <w:szCs w:val="32"/>
          <w:u w:val="none"/>
        </w:rPr>
        <w:t>经查明，</w:t>
      </w:r>
      <w:r>
        <w:rPr>
          <w:rFonts w:ascii="仿宋_GB2312" w:eastAsia="仿宋_GB2312" w:cs="仿宋_GB2312"/>
          <w:sz w:val="32"/>
          <w:szCs w:val="32"/>
          <w:u w:val="none"/>
        </w:rPr>
        <w:t>2022</w:t>
      </w:r>
      <w:r>
        <w:rPr>
          <w:rFonts w:hint="eastAsia" w:ascii="仿宋_GB2312" w:eastAsia="仿宋_GB2312" w:cs="仿宋_GB2312"/>
          <w:sz w:val="32"/>
          <w:szCs w:val="32"/>
          <w:u w:val="none"/>
        </w:rPr>
        <w:t>年</w:t>
      </w:r>
      <w:r>
        <w:rPr>
          <w:rFonts w:ascii="仿宋_GB2312" w:eastAsia="仿宋_GB2312" w:cs="仿宋_GB2312"/>
          <w:sz w:val="32"/>
          <w:szCs w:val="32"/>
          <w:u w:val="none"/>
        </w:rPr>
        <w:t>3</w:t>
      </w:r>
      <w:r>
        <w:rPr>
          <w:rFonts w:hint="eastAsia" w:ascii="仿宋_GB2312" w:eastAsia="仿宋_GB2312" w:cs="仿宋_GB2312"/>
          <w:sz w:val="32"/>
          <w:szCs w:val="32"/>
          <w:u w:val="none"/>
        </w:rPr>
        <w:t>月</w:t>
      </w:r>
      <w:r>
        <w:rPr>
          <w:rFonts w:ascii="仿宋_GB2312" w:eastAsia="仿宋_GB2312" w:cs="仿宋_GB2312"/>
          <w:sz w:val="32"/>
          <w:szCs w:val="32"/>
          <w:u w:val="none"/>
        </w:rPr>
        <w:t>20</w:t>
      </w:r>
      <w:r>
        <w:rPr>
          <w:rFonts w:hint="eastAsia" w:ascii="仿宋_GB2312" w:eastAsia="仿宋_GB2312" w:cs="仿宋_GB2312"/>
          <w:sz w:val="32"/>
          <w:szCs w:val="32"/>
          <w:u w:val="none"/>
        </w:rPr>
        <w:t>日，当事人在未对上述业务按规定实施明码标价的情况下，在其</w:t>
      </w:r>
      <w:r>
        <w:rPr>
          <w:rFonts w:ascii="仿宋_GB2312" w:eastAsia="仿宋_GB2312" w:cs="仿宋_GB2312"/>
          <w:sz w:val="32"/>
          <w:szCs w:val="32"/>
          <w:u w:val="none"/>
        </w:rPr>
        <w:t>经营场所内开展复印、打印</w:t>
      </w:r>
      <w:r>
        <w:rPr>
          <w:rFonts w:hint="eastAsia" w:ascii="仿宋_GB2312" w:eastAsia="仿宋_GB2312" w:cs="仿宋_GB2312"/>
          <w:sz w:val="32"/>
          <w:szCs w:val="32"/>
          <w:u w:val="none"/>
        </w:rPr>
        <w:t>服务，由于当事人</w:t>
      </w:r>
      <w:r>
        <w:rPr>
          <w:rFonts w:ascii="仿宋_GB2312" w:eastAsia="仿宋_GB2312" w:cs="仿宋_GB2312"/>
          <w:sz w:val="32"/>
          <w:szCs w:val="32"/>
          <w:u w:val="none"/>
        </w:rPr>
        <w:t>未对</w:t>
      </w:r>
      <w:r>
        <w:rPr>
          <w:rFonts w:hint="eastAsia" w:ascii="仿宋_GB2312" w:eastAsia="仿宋_GB2312" w:cs="仿宋_GB2312"/>
          <w:sz w:val="32"/>
          <w:szCs w:val="32"/>
          <w:u w:val="none"/>
        </w:rPr>
        <w:t>上述</w:t>
      </w:r>
      <w:r>
        <w:rPr>
          <w:rFonts w:ascii="仿宋_GB2312" w:eastAsia="仿宋_GB2312" w:cs="仿宋_GB2312"/>
          <w:sz w:val="32"/>
          <w:szCs w:val="32"/>
          <w:u w:val="none"/>
        </w:rPr>
        <w:t>服务</w:t>
      </w:r>
      <w:r>
        <w:rPr>
          <w:rFonts w:hint="eastAsia" w:ascii="仿宋_GB2312" w:eastAsia="仿宋_GB2312" w:cs="仿宋_GB2312"/>
          <w:sz w:val="32"/>
          <w:szCs w:val="32"/>
          <w:u w:val="none"/>
        </w:rPr>
        <w:t>的</w:t>
      </w:r>
      <w:r>
        <w:rPr>
          <w:rFonts w:ascii="仿宋_GB2312" w:eastAsia="仿宋_GB2312" w:cs="仿宋_GB2312"/>
          <w:sz w:val="32"/>
          <w:szCs w:val="32"/>
          <w:u w:val="none"/>
        </w:rPr>
        <w:t>服务数量和</w:t>
      </w:r>
      <w:r>
        <w:rPr>
          <w:rFonts w:hint="eastAsia" w:ascii="仿宋_GB2312" w:eastAsia="仿宋_GB2312" w:cs="仿宋_GB2312"/>
          <w:sz w:val="32"/>
          <w:szCs w:val="32"/>
          <w:u w:val="none"/>
        </w:rPr>
        <w:t>收入</w:t>
      </w:r>
      <w:r>
        <w:rPr>
          <w:rFonts w:ascii="仿宋_GB2312" w:eastAsia="仿宋_GB2312" w:cs="仿宋_GB2312"/>
          <w:sz w:val="32"/>
          <w:szCs w:val="32"/>
          <w:u w:val="none"/>
        </w:rPr>
        <w:t>进行</w:t>
      </w:r>
      <w:r>
        <w:rPr>
          <w:rFonts w:hint="eastAsia" w:ascii="仿宋_GB2312" w:eastAsia="仿宋_GB2312" w:cs="仿宋_GB2312"/>
          <w:sz w:val="32"/>
          <w:szCs w:val="32"/>
          <w:u w:val="none"/>
        </w:rPr>
        <w:t>记录</w:t>
      </w:r>
      <w:r>
        <w:rPr>
          <w:rFonts w:ascii="仿宋_GB2312" w:eastAsia="仿宋_GB2312" w:cs="仿宋_GB2312"/>
          <w:sz w:val="32"/>
          <w:szCs w:val="32"/>
          <w:u w:val="none"/>
        </w:rPr>
        <w:t>，导致</w:t>
      </w:r>
      <w:r>
        <w:rPr>
          <w:rFonts w:hint="eastAsia" w:ascii="仿宋_GB2312" w:eastAsia="仿宋_GB2312" w:cs="仿宋_GB2312"/>
          <w:sz w:val="32"/>
          <w:szCs w:val="32"/>
          <w:u w:val="none"/>
        </w:rPr>
        <w:t>违法</w:t>
      </w:r>
      <w:r>
        <w:rPr>
          <w:rFonts w:ascii="仿宋_GB2312" w:eastAsia="仿宋_GB2312" w:cs="仿宋_GB2312"/>
          <w:sz w:val="32"/>
          <w:szCs w:val="32"/>
          <w:u w:val="none"/>
        </w:rPr>
        <w:t>所得无法确定</w:t>
      </w:r>
      <w:r>
        <w:rPr>
          <w:rFonts w:hint="eastAsia" w:ascii="仿宋_GB2312" w:eastAsia="仿宋_GB2312" w:cs="仿宋_GB2312"/>
          <w:sz w:val="32"/>
          <w:szCs w:val="32"/>
          <w:u w:val="none"/>
        </w:rPr>
        <w:t>。上述行为满足违反规定未明码标价行为构成要件，无违法所得。</w:t>
      </w:r>
    </w:p>
    <w:p>
      <w:pPr>
        <w:snapToGrid w:val="0"/>
        <w:spacing w:line="460" w:lineRule="exact"/>
        <w:ind w:firstLine="640" w:firstLineChars="200"/>
        <w:rPr>
          <w:rFonts w:ascii="仿宋_GB2312" w:eastAsia="仿宋_GB2312" w:cs="仿宋_GB2312"/>
          <w:sz w:val="32"/>
          <w:szCs w:val="32"/>
          <w:u w:val="none"/>
        </w:rPr>
      </w:pPr>
      <w:r>
        <w:rPr>
          <w:rFonts w:hint="eastAsia" w:ascii="仿宋_GB2312" w:eastAsia="仿宋_GB2312" w:cs="仿宋_GB2312"/>
          <w:sz w:val="32"/>
          <w:szCs w:val="32"/>
          <w:u w:val="none"/>
        </w:rPr>
        <w:t>上述事实，主要有以下证据证明：</w:t>
      </w:r>
    </w:p>
    <w:p>
      <w:pPr>
        <w:snapToGrid w:val="0"/>
        <w:spacing w:line="460" w:lineRule="exact"/>
        <w:ind w:firstLine="640" w:firstLineChars="200"/>
        <w:rPr>
          <w:rFonts w:ascii="仿宋_GB2312" w:eastAsia="仿宋_GB2312" w:cs="仿宋_GB2312"/>
          <w:sz w:val="32"/>
          <w:szCs w:val="32"/>
          <w:u w:val="none"/>
        </w:rPr>
      </w:pPr>
      <w:r>
        <w:rPr>
          <w:rFonts w:ascii="仿宋_GB2312" w:eastAsia="仿宋_GB2312" w:cs="仿宋_GB2312"/>
          <w:sz w:val="32"/>
          <w:szCs w:val="32"/>
          <w:u w:val="none"/>
        </w:rPr>
        <w:t>1.</w:t>
      </w:r>
      <w:r>
        <w:rPr>
          <w:rFonts w:hint="eastAsia" w:ascii="仿宋_GB2312" w:eastAsia="仿宋_GB2312" w:cs="仿宋_GB2312"/>
          <w:sz w:val="32"/>
          <w:szCs w:val="32"/>
          <w:u w:val="none"/>
        </w:rPr>
        <w:t>当事人的营业执照复印件，经营者涂军平身份证复印件。</w:t>
      </w:r>
      <w:r>
        <w:rPr>
          <w:rFonts w:ascii="仿宋_GB2312" w:eastAsia="仿宋_GB2312" w:cs="仿宋_GB2312"/>
          <w:sz w:val="32"/>
          <w:szCs w:val="32"/>
          <w:u w:val="none"/>
        </w:rPr>
        <w:t xml:space="preserve">                                    </w:t>
      </w:r>
    </w:p>
    <w:p>
      <w:pPr>
        <w:snapToGrid w:val="0"/>
        <w:spacing w:line="460" w:lineRule="exact"/>
        <w:ind w:firstLine="640" w:firstLineChars="200"/>
        <w:rPr>
          <w:rFonts w:ascii="仿宋_GB2312" w:eastAsia="仿宋_GB2312" w:cs="仿宋_GB2312"/>
          <w:sz w:val="32"/>
          <w:szCs w:val="32"/>
          <w:u w:val="none"/>
        </w:rPr>
      </w:pPr>
      <w:r>
        <w:rPr>
          <w:rFonts w:ascii="仿宋_GB2312" w:eastAsia="仿宋_GB2312" w:cs="仿宋_GB2312"/>
          <w:sz w:val="32"/>
          <w:szCs w:val="32"/>
          <w:u w:val="none"/>
        </w:rPr>
        <w:t>2.</w:t>
      </w:r>
      <w:r>
        <w:rPr>
          <w:rFonts w:hint="eastAsia" w:ascii="仿宋_GB2312" w:eastAsia="仿宋_GB2312" w:cs="仿宋_GB2312"/>
          <w:sz w:val="32"/>
          <w:szCs w:val="32"/>
          <w:u w:val="none"/>
        </w:rPr>
        <w:t>现场检查笔录、现场照片。</w:t>
      </w:r>
    </w:p>
    <w:p>
      <w:pPr>
        <w:snapToGrid w:val="0"/>
        <w:spacing w:line="460" w:lineRule="exact"/>
        <w:ind w:firstLine="640" w:firstLineChars="200"/>
        <w:rPr>
          <w:rFonts w:ascii="仿宋_GB2312" w:eastAsia="仿宋_GB2312" w:cs="仿宋_GB2312"/>
          <w:sz w:val="32"/>
          <w:szCs w:val="32"/>
          <w:u w:val="none"/>
        </w:rPr>
      </w:pPr>
      <w:r>
        <w:rPr>
          <w:rFonts w:ascii="仿宋_GB2312" w:eastAsia="仿宋_GB2312" w:cs="仿宋_GB2312"/>
          <w:sz w:val="32"/>
          <w:szCs w:val="32"/>
          <w:u w:val="none"/>
        </w:rPr>
        <w:t>3.</w:t>
      </w:r>
      <w:r>
        <w:rPr>
          <w:rFonts w:hint="eastAsia" w:ascii="仿宋_GB2312" w:eastAsia="仿宋_GB2312" w:cs="仿宋_GB2312"/>
          <w:sz w:val="32"/>
          <w:szCs w:val="32"/>
          <w:u w:val="none"/>
        </w:rPr>
        <w:t>当事人负责人涂军平的询问调查笔录。</w:t>
      </w:r>
    </w:p>
    <w:p>
      <w:pPr>
        <w:snapToGrid w:val="0"/>
        <w:spacing w:line="460" w:lineRule="exact"/>
        <w:ind w:firstLine="640" w:firstLineChars="200"/>
        <w:rPr>
          <w:rFonts w:ascii="仿宋_GB2312" w:eastAsia="仿宋_GB2312" w:cs="仿宋_GB2312"/>
          <w:sz w:val="32"/>
          <w:szCs w:val="32"/>
          <w:u w:val="none"/>
        </w:rPr>
      </w:pPr>
      <w:r>
        <w:rPr>
          <w:rFonts w:hint="eastAsia" w:ascii="仿宋_GB2312" w:eastAsia="仿宋_GB2312" w:cs="仿宋_GB2312"/>
          <w:sz w:val="32"/>
          <w:szCs w:val="32"/>
          <w:u w:val="none"/>
        </w:rPr>
        <w:t>天津市北辰区市场监督管理局行政处罚听证告知书（津辰市监处罚告〔</w:t>
      </w:r>
      <w:r>
        <w:rPr>
          <w:rFonts w:ascii="仿宋_GB2312" w:eastAsia="仿宋_GB2312" w:cs="仿宋_GB2312"/>
          <w:sz w:val="32"/>
          <w:szCs w:val="32"/>
          <w:u w:val="none"/>
        </w:rPr>
        <w:t>2022</w:t>
      </w:r>
      <w:r>
        <w:rPr>
          <w:rFonts w:hint="eastAsia" w:ascii="仿宋_GB2312" w:eastAsia="仿宋_GB2312" w:cs="仿宋_GB2312"/>
          <w:sz w:val="32"/>
          <w:szCs w:val="32"/>
          <w:u w:val="none"/>
        </w:rPr>
        <w:t>〕</w:t>
      </w:r>
      <w:r>
        <w:rPr>
          <w:rFonts w:ascii="仿宋_GB2312" w:eastAsia="仿宋_GB2312" w:cs="仿宋_GB2312"/>
          <w:sz w:val="32"/>
          <w:szCs w:val="32"/>
          <w:u w:val="none"/>
        </w:rPr>
        <w:t>640</w:t>
      </w:r>
      <w:r>
        <w:rPr>
          <w:rFonts w:hint="eastAsia" w:ascii="仿宋_GB2312" w:eastAsia="仿宋_GB2312" w:cs="仿宋_GB2312"/>
          <w:sz w:val="32"/>
          <w:szCs w:val="32"/>
          <w:u w:val="none"/>
        </w:rPr>
        <w:t>号）已于</w:t>
      </w:r>
      <w:r>
        <w:rPr>
          <w:rFonts w:ascii="仿宋_GB2312" w:eastAsia="仿宋_GB2312" w:cs="仿宋_GB2312"/>
          <w:sz w:val="32"/>
          <w:szCs w:val="32"/>
          <w:u w:val="none"/>
        </w:rPr>
        <w:t>2022</w:t>
      </w:r>
      <w:r>
        <w:rPr>
          <w:rFonts w:hint="eastAsia" w:ascii="仿宋_GB2312" w:eastAsia="仿宋_GB2312" w:cs="仿宋_GB2312"/>
          <w:sz w:val="32"/>
          <w:szCs w:val="32"/>
          <w:u w:val="none"/>
        </w:rPr>
        <w:t>年</w:t>
      </w:r>
      <w:r>
        <w:rPr>
          <w:rFonts w:ascii="仿宋_GB2312" w:eastAsia="仿宋_GB2312" w:cs="仿宋_GB2312"/>
          <w:sz w:val="32"/>
          <w:szCs w:val="32"/>
          <w:u w:val="none"/>
        </w:rPr>
        <w:t>12</w:t>
      </w:r>
      <w:r>
        <w:rPr>
          <w:rFonts w:hint="eastAsia" w:ascii="仿宋_GB2312" w:eastAsia="仿宋_GB2312" w:cs="仿宋_GB2312"/>
          <w:sz w:val="32"/>
          <w:szCs w:val="32"/>
          <w:u w:val="none"/>
        </w:rPr>
        <w:t>月</w:t>
      </w:r>
      <w:r>
        <w:rPr>
          <w:rFonts w:ascii="仿宋_GB2312" w:eastAsia="仿宋_GB2312" w:cs="仿宋_GB2312"/>
          <w:sz w:val="32"/>
          <w:szCs w:val="32"/>
          <w:u w:val="none"/>
        </w:rPr>
        <w:t>21</w:t>
      </w:r>
      <w:r>
        <w:rPr>
          <w:rFonts w:hint="eastAsia" w:ascii="仿宋_GB2312" w:eastAsia="仿宋_GB2312" w:cs="仿宋_GB2312"/>
          <w:sz w:val="32"/>
          <w:szCs w:val="32"/>
          <w:u w:val="none"/>
        </w:rPr>
        <w:t>日直接送达当事人，当事人无陈述、申辩意见，也未提出听证。</w:t>
      </w:r>
    </w:p>
    <w:p>
      <w:pPr>
        <w:snapToGrid w:val="0"/>
        <w:spacing w:line="460" w:lineRule="exact"/>
        <w:ind w:firstLine="640" w:firstLineChars="200"/>
        <w:rPr>
          <w:rFonts w:ascii="仿宋_GB2312" w:eastAsia="仿宋_GB2312" w:cs="仿宋_GB2312"/>
          <w:sz w:val="32"/>
          <w:szCs w:val="32"/>
          <w:u w:val="none"/>
        </w:rPr>
      </w:pPr>
      <w:r>
        <w:rPr>
          <w:rFonts w:hint="eastAsia" w:ascii="仿宋_GB2312" w:eastAsia="仿宋_GB2312" w:cs="仿宋_GB2312"/>
          <w:sz w:val="32"/>
          <w:szCs w:val="32"/>
          <w:u w:val="none"/>
        </w:rPr>
        <w:t>当事人上述行为违反了《中华人民共和国价格法》第十三条第一款“经营者销售、收购商品和提供服务，应当按照政府价格主管部门的规定明码标价，注明商品的品名、产地、规格、等级、计价单位、价格或者服务的项目、收费标准等有关情况。”的规定。</w:t>
      </w:r>
      <w:r>
        <w:rPr>
          <w:rFonts w:ascii="仿宋_GB2312" w:eastAsia="仿宋_GB2312" w:cs="仿宋_GB2312"/>
          <w:sz w:val="32"/>
          <w:szCs w:val="32"/>
          <w:u w:val="none"/>
        </w:rPr>
        <w:t xml:space="preserve">  </w:t>
      </w:r>
    </w:p>
    <w:p>
      <w:pPr>
        <w:snapToGrid w:val="0"/>
        <w:spacing w:line="460" w:lineRule="exact"/>
        <w:ind w:firstLine="640" w:firstLineChars="200"/>
        <w:rPr>
          <w:rFonts w:ascii="仿宋_GB2312" w:eastAsia="仿宋_GB2312" w:cs="仿宋_GB2312"/>
          <w:sz w:val="32"/>
          <w:szCs w:val="32"/>
          <w:u w:val="none"/>
        </w:rPr>
      </w:pPr>
      <w:r>
        <w:rPr>
          <w:rFonts w:hint="eastAsia" w:ascii="仿宋_GB2312" w:eastAsia="仿宋_GB2312" w:cs="仿宋_GB2312"/>
          <w:sz w:val="32"/>
          <w:szCs w:val="32"/>
          <w:u w:val="none"/>
        </w:rPr>
        <w:t>依据《中华人民共和国价格法》第四十二条：“经营者违反明码标价规定的，责令改正，没收违法所得，可以并处五千元以下的罚款。”和</w:t>
      </w:r>
      <w:r>
        <w:rPr>
          <w:rFonts w:ascii="仿宋_GB2312" w:eastAsia="仿宋_GB2312" w:cs="仿宋_GB2312"/>
          <w:sz w:val="32"/>
          <w:szCs w:val="32"/>
          <w:u w:val="none"/>
        </w:rPr>
        <w:t>《</w:t>
      </w:r>
      <w:r>
        <w:rPr>
          <w:rFonts w:hint="eastAsia" w:ascii="仿宋_GB2312" w:eastAsia="仿宋_GB2312" w:cs="仿宋_GB2312"/>
          <w:sz w:val="32"/>
          <w:szCs w:val="32"/>
          <w:u w:val="none"/>
        </w:rPr>
        <w:t>价格违法行为</w:t>
      </w:r>
      <w:r>
        <w:rPr>
          <w:rFonts w:ascii="仿宋_GB2312" w:eastAsia="仿宋_GB2312" w:cs="仿宋_GB2312"/>
          <w:sz w:val="32"/>
          <w:szCs w:val="32"/>
          <w:u w:val="none"/>
        </w:rPr>
        <w:t>行政处罚规定》</w:t>
      </w:r>
      <w:r>
        <w:rPr>
          <w:rFonts w:hint="eastAsia" w:ascii="仿宋_GB2312" w:eastAsia="仿宋_GB2312" w:cs="仿宋_GB2312"/>
          <w:sz w:val="32"/>
          <w:szCs w:val="32"/>
          <w:u w:val="none"/>
        </w:rPr>
        <w:t>第</w:t>
      </w:r>
      <w:r>
        <w:rPr>
          <w:rFonts w:ascii="仿宋_GB2312" w:eastAsia="仿宋_GB2312" w:cs="仿宋_GB2312"/>
          <w:sz w:val="32"/>
          <w:szCs w:val="32"/>
          <w:u w:val="none"/>
        </w:rPr>
        <w:t>十八条：“</w:t>
      </w:r>
      <w:r>
        <w:rPr>
          <w:rFonts w:hint="eastAsia" w:ascii="仿宋_GB2312" w:eastAsia="仿宋_GB2312" w:cs="仿宋_GB2312"/>
          <w:sz w:val="32"/>
          <w:szCs w:val="32"/>
          <w:u w:val="none"/>
        </w:rPr>
        <w:t>本规定中以</w:t>
      </w:r>
      <w:r>
        <w:rPr>
          <w:rFonts w:ascii="仿宋_GB2312" w:eastAsia="仿宋_GB2312" w:cs="仿宋_GB2312"/>
          <w:sz w:val="32"/>
          <w:szCs w:val="32"/>
          <w:u w:val="none"/>
        </w:rPr>
        <w:t>违法所得计算罚款数额的，违法所得无法确定</w:t>
      </w:r>
      <w:r>
        <w:rPr>
          <w:rFonts w:hint="eastAsia" w:ascii="仿宋_GB2312" w:eastAsia="仿宋_GB2312" w:cs="仿宋_GB2312"/>
          <w:sz w:val="32"/>
          <w:szCs w:val="32"/>
          <w:u w:val="none"/>
        </w:rPr>
        <w:t>时</w:t>
      </w:r>
      <w:r>
        <w:rPr>
          <w:rFonts w:ascii="仿宋_GB2312" w:eastAsia="仿宋_GB2312" w:cs="仿宋_GB2312"/>
          <w:sz w:val="32"/>
          <w:szCs w:val="32"/>
          <w:u w:val="none"/>
        </w:rPr>
        <w:t>，按照没有违法所得的规定处罚。”</w:t>
      </w:r>
      <w:r>
        <w:rPr>
          <w:rFonts w:hint="eastAsia" w:ascii="仿宋_GB2312" w:eastAsia="仿宋_GB2312" w:cs="仿宋_GB2312"/>
          <w:sz w:val="32"/>
          <w:szCs w:val="32"/>
          <w:u w:val="none"/>
        </w:rPr>
        <w:t>决定责令当事人立即改正违法行为，并处罚款</w:t>
      </w:r>
      <w:r>
        <w:rPr>
          <w:rFonts w:ascii="仿宋_GB2312" w:eastAsia="仿宋_GB2312" w:cs="仿宋_GB2312"/>
          <w:sz w:val="32"/>
          <w:szCs w:val="32"/>
          <w:u w:val="none"/>
        </w:rPr>
        <w:t>500</w:t>
      </w:r>
      <w:r>
        <w:rPr>
          <w:rFonts w:hint="eastAsia" w:ascii="仿宋_GB2312" w:eastAsia="仿宋_GB2312" w:cs="仿宋_GB2312"/>
          <w:sz w:val="32"/>
          <w:szCs w:val="32"/>
          <w:u w:val="none"/>
        </w:rPr>
        <w:t>元。</w:t>
      </w:r>
    </w:p>
    <w:p>
      <w:pPr>
        <w:snapToGrid w:val="0"/>
        <w:spacing w:line="460" w:lineRule="exact"/>
        <w:rPr>
          <w:rFonts w:ascii="仿宋_GB2312" w:eastAsia="仿宋_GB2312" w:cs="仿宋_GB2312"/>
          <w:sz w:val="32"/>
          <w:szCs w:val="32"/>
          <w:u w:val="none"/>
        </w:rPr>
      </w:pPr>
      <w:r>
        <w:rPr>
          <w:rFonts w:ascii="仿宋_GB2312" w:eastAsia="仿宋_GB2312" w:cs="仿宋_GB2312"/>
          <w:sz w:val="32"/>
          <w:szCs w:val="32"/>
          <w:u w:val="none"/>
        </w:rPr>
        <w:t xml:space="preserve">    </w:t>
      </w:r>
      <w:r>
        <w:rPr>
          <w:rFonts w:hint="eastAsia" w:ascii="仿宋_GB2312" w:eastAsia="仿宋_GB2312" w:cs="仿宋_GB2312"/>
          <w:sz w:val="32"/>
          <w:szCs w:val="32"/>
          <w:u w:val="none"/>
        </w:rPr>
        <w:t xml:space="preserve">当事人应于收到本决定书之日起十五日内将罚（没）款缴到中国工商银行天津分行、中国农业银行天津分行、中国银行天津分行、中国建设银行天津分行、中国光大银行天津分行、天津银行、浙商银行天津分行等市财政指定非税收入收缴银行对公网点。逾期不缴纳罚款的，依据《中华人民共和国行政处罚法》第五十一条第一项的规定，每日按罚款数额的百分之三加处罚款，并将依法申请人民法院强制执行。               </w:t>
      </w:r>
    </w:p>
    <w:p>
      <w:pPr>
        <w:snapToGrid w:val="0"/>
        <w:spacing w:line="460" w:lineRule="exact"/>
        <w:ind w:firstLine="640" w:firstLineChars="200"/>
        <w:rPr>
          <w:rFonts w:ascii="仿宋_GB2312" w:eastAsia="仿宋_GB2312" w:cs="Times New Roman"/>
          <w:sz w:val="32"/>
          <w:szCs w:val="32"/>
          <w:u w:val="none"/>
        </w:rPr>
      </w:pPr>
      <w:r>
        <w:rPr>
          <w:rFonts w:hint="eastAsia" w:ascii="仿宋_GB2312" w:eastAsia="仿宋_GB2312" w:cs="仿宋_GB2312"/>
          <w:sz w:val="32"/>
          <w:szCs w:val="32"/>
          <w:u w:val="none"/>
        </w:rPr>
        <w:t>如对本行政处罚决定不服，可以于收到本决定书之日起六十日内依法向天津市北辰区人民政府申请行政复议，也可以于六个月内依法向天津市北辰区人民法院提起行政诉讼。</w:t>
      </w:r>
      <w:r>
        <w:rPr>
          <w:rFonts w:hint="eastAsia" w:ascii="仿宋_GB2312" w:eastAsia="仿宋_GB2312" w:cs="仿宋_GB2312"/>
          <w:sz w:val="32"/>
          <w:szCs w:val="32"/>
          <w:u w:val="none"/>
        </w:rPr>
        <w:t xml:space="preserve">         </w:t>
      </w:r>
    </w:p>
    <w:p>
      <w:pPr>
        <w:spacing w:line="500" w:lineRule="exact"/>
        <w:ind w:firstLine="601"/>
        <w:jc w:val="center"/>
        <w:rPr>
          <w:rFonts w:ascii="Times New Roman" w:hAnsi="Times New Roman" w:eastAsia="仿宋_GB2312" w:cs="Times New Roman"/>
          <w:color w:val="000000"/>
          <w:sz w:val="32"/>
          <w:szCs w:val="32"/>
          <w:u w:val="none"/>
        </w:rPr>
      </w:pPr>
      <w:r>
        <w:rPr>
          <w:rFonts w:ascii="Times New Roman" w:hAnsi="Times New Roman" w:eastAsia="仿宋_GB2312" w:cs="Times New Roman"/>
          <w:color w:val="000000"/>
          <w:sz w:val="32"/>
          <w:szCs w:val="32"/>
          <w:u w:val="none"/>
        </w:rPr>
        <w:t xml:space="preserve">                   </w:t>
      </w:r>
    </w:p>
    <w:p>
      <w:pPr>
        <w:spacing w:line="500" w:lineRule="exact"/>
        <w:ind w:firstLine="601"/>
        <w:jc w:val="center"/>
        <w:rPr>
          <w:rFonts w:ascii="Times New Roman" w:hAnsi="Times New Roman" w:eastAsia="仿宋_GB2312" w:cs="Times New Roman"/>
          <w:color w:val="000000"/>
          <w:sz w:val="32"/>
          <w:szCs w:val="32"/>
          <w:u w:val="none"/>
        </w:rPr>
      </w:pPr>
    </w:p>
    <w:p>
      <w:pPr>
        <w:spacing w:line="500" w:lineRule="exact"/>
        <w:ind w:firstLine="601"/>
        <w:jc w:val="center"/>
        <w:rPr>
          <w:rFonts w:ascii="Times New Roman" w:hAnsi="Times New Roman" w:eastAsia="仿宋_GB2312" w:cs="Times New Roman"/>
          <w:color w:val="000000"/>
          <w:sz w:val="32"/>
          <w:szCs w:val="32"/>
          <w:u w:val="none"/>
        </w:rPr>
      </w:pPr>
    </w:p>
    <w:p>
      <w:pPr>
        <w:spacing w:line="500" w:lineRule="exact"/>
        <w:ind w:firstLine="601"/>
        <w:jc w:val="center"/>
        <w:rPr>
          <w:rFonts w:hint="eastAsia" w:ascii="Times New Roman" w:hAnsi="Times New Roman" w:eastAsia="仿宋_GB2312" w:cs="Times New Roman"/>
          <w:color w:val="000000"/>
          <w:sz w:val="32"/>
          <w:szCs w:val="32"/>
          <w:u w:val="none"/>
          <w:lang w:val="en-US" w:eastAsia="zh-CN"/>
        </w:rPr>
      </w:pPr>
      <w:r>
        <w:rPr>
          <w:rFonts w:hint="eastAsia" w:ascii="Times New Roman" w:hAnsi="Times New Roman" w:eastAsia="仿宋_GB2312" w:cs="Times New Roman"/>
          <w:color w:val="000000"/>
          <w:sz w:val="32"/>
          <w:szCs w:val="32"/>
          <w:u w:val="none"/>
          <w:lang w:val="en-US" w:eastAsia="zh-CN"/>
        </w:rPr>
        <w:t xml:space="preserve">         </w:t>
      </w:r>
    </w:p>
    <w:p>
      <w:pPr>
        <w:spacing w:line="500" w:lineRule="exact"/>
        <w:ind w:firstLine="601"/>
        <w:jc w:val="center"/>
        <w:rPr>
          <w:rFonts w:ascii="Times New Roman" w:hAnsi="Times New Roman" w:eastAsia="仿宋_GB2312" w:cs="Times New Roman"/>
          <w:color w:val="000000"/>
          <w:sz w:val="32"/>
          <w:szCs w:val="32"/>
          <w:u w:val="none"/>
        </w:rPr>
      </w:pPr>
      <w:r>
        <w:rPr>
          <w:rFonts w:hint="eastAsia" w:ascii="Times New Roman" w:hAnsi="Times New Roman" w:eastAsia="仿宋_GB2312" w:cs="Times New Roman"/>
          <w:color w:val="000000"/>
          <w:sz w:val="32"/>
          <w:szCs w:val="32"/>
          <w:u w:val="none"/>
          <w:lang w:val="en-US" w:eastAsia="zh-CN"/>
        </w:rPr>
        <w:t xml:space="preserve">          </w:t>
      </w:r>
      <w:r>
        <w:rPr>
          <w:rFonts w:ascii="Times New Roman" w:hAnsi="Times New Roman" w:eastAsia="仿宋_GB2312" w:cs="Times New Roman"/>
          <w:color w:val="000000"/>
          <w:sz w:val="32"/>
          <w:szCs w:val="32"/>
          <w:u w:val="none"/>
        </w:rPr>
        <w:t xml:space="preserve"> </w:t>
      </w:r>
      <w:r>
        <w:rPr>
          <w:rFonts w:hint="eastAsia" w:ascii="Times New Roman" w:hAnsi="Times New Roman" w:eastAsia="仿宋_GB2312" w:cs="仿宋_GB2312"/>
          <w:color w:val="000000"/>
          <w:sz w:val="32"/>
          <w:szCs w:val="32"/>
          <w:u w:val="none"/>
        </w:rPr>
        <w:t>天津市北辰区市场监督管理局</w:t>
      </w:r>
    </w:p>
    <w:p>
      <w:pPr>
        <w:spacing w:line="500" w:lineRule="exact"/>
        <w:ind w:right="640" w:firstLine="600"/>
        <w:jc w:val="center"/>
        <w:rPr>
          <w:rFonts w:ascii="Times New Roman" w:hAnsi="Times New Roman" w:eastAsia="仿宋_GB2312" w:cs="Times New Roman"/>
          <w:color w:val="000000"/>
          <w:sz w:val="32"/>
          <w:szCs w:val="32"/>
          <w:u w:val="none"/>
        </w:rPr>
      </w:pPr>
      <w:r>
        <w:rPr>
          <w:rFonts w:ascii="Times New Roman" w:hAnsi="Times New Roman" w:eastAsia="仿宋_GB2312" w:cs="Times New Roman"/>
          <w:color w:val="000000"/>
          <w:sz w:val="32"/>
          <w:szCs w:val="32"/>
          <w:u w:val="none"/>
        </w:rPr>
        <w:t xml:space="preserve">                 2022</w:t>
      </w:r>
      <w:r>
        <w:rPr>
          <w:rFonts w:hint="eastAsia" w:ascii="Times New Roman" w:hAnsi="Times New Roman" w:eastAsia="仿宋_GB2312" w:cs="仿宋_GB2312"/>
          <w:color w:val="000000"/>
          <w:sz w:val="32"/>
          <w:szCs w:val="32"/>
          <w:u w:val="none"/>
        </w:rPr>
        <w:t>年</w:t>
      </w:r>
      <w:r>
        <w:rPr>
          <w:rFonts w:ascii="Times New Roman" w:hAnsi="Times New Roman" w:eastAsia="仿宋_GB2312" w:cs="Times New Roman"/>
          <w:color w:val="000000"/>
          <w:sz w:val="32"/>
          <w:szCs w:val="32"/>
          <w:u w:val="none"/>
        </w:rPr>
        <w:t>12</w:t>
      </w:r>
      <w:r>
        <w:rPr>
          <w:rFonts w:hint="eastAsia" w:ascii="Times New Roman" w:hAnsi="Times New Roman" w:eastAsia="仿宋_GB2312" w:cs="仿宋_GB2312"/>
          <w:color w:val="000000"/>
          <w:sz w:val="32"/>
          <w:szCs w:val="32"/>
          <w:u w:val="none"/>
        </w:rPr>
        <w:t>月</w:t>
      </w:r>
      <w:r>
        <w:rPr>
          <w:rFonts w:ascii="Times New Roman" w:hAnsi="Times New Roman" w:eastAsia="仿宋_GB2312" w:cs="Times New Roman"/>
          <w:color w:val="000000"/>
          <w:sz w:val="32"/>
          <w:szCs w:val="32"/>
          <w:u w:val="none"/>
        </w:rPr>
        <w:t>29</w:t>
      </w:r>
      <w:r>
        <w:rPr>
          <w:rFonts w:hint="eastAsia" w:ascii="Times New Roman" w:hAnsi="Times New Roman" w:eastAsia="仿宋_GB2312" w:cs="仿宋_GB2312"/>
          <w:color w:val="000000"/>
          <w:sz w:val="32"/>
          <w:szCs w:val="32"/>
          <w:u w:val="none"/>
        </w:rPr>
        <w:t>日</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true"/>
  <w:bordersDoNotSurroundFooter w:val="true"/>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205"/>
    <w:rsid w:val="0003562C"/>
    <w:rsid w:val="00047EEE"/>
    <w:rsid w:val="0005580D"/>
    <w:rsid w:val="000710AD"/>
    <w:rsid w:val="00081B37"/>
    <w:rsid w:val="000A088F"/>
    <w:rsid w:val="000D53B6"/>
    <w:rsid w:val="00100C35"/>
    <w:rsid w:val="001036D8"/>
    <w:rsid w:val="001257ED"/>
    <w:rsid w:val="0013110A"/>
    <w:rsid w:val="001573AC"/>
    <w:rsid w:val="00216320"/>
    <w:rsid w:val="002417F2"/>
    <w:rsid w:val="00276417"/>
    <w:rsid w:val="002B10B2"/>
    <w:rsid w:val="002E1906"/>
    <w:rsid w:val="003459B3"/>
    <w:rsid w:val="00380C65"/>
    <w:rsid w:val="00385832"/>
    <w:rsid w:val="0038744E"/>
    <w:rsid w:val="003D2E67"/>
    <w:rsid w:val="004632D3"/>
    <w:rsid w:val="00463DC9"/>
    <w:rsid w:val="004727BD"/>
    <w:rsid w:val="00483CBF"/>
    <w:rsid w:val="0048440B"/>
    <w:rsid w:val="004844D9"/>
    <w:rsid w:val="004B4E39"/>
    <w:rsid w:val="004B780A"/>
    <w:rsid w:val="00503A0A"/>
    <w:rsid w:val="00504AED"/>
    <w:rsid w:val="00515664"/>
    <w:rsid w:val="00524798"/>
    <w:rsid w:val="00595503"/>
    <w:rsid w:val="005A1B12"/>
    <w:rsid w:val="005A6CCC"/>
    <w:rsid w:val="005B03E2"/>
    <w:rsid w:val="005E2548"/>
    <w:rsid w:val="006241C1"/>
    <w:rsid w:val="00637205"/>
    <w:rsid w:val="00671FCB"/>
    <w:rsid w:val="006A287A"/>
    <w:rsid w:val="006B6281"/>
    <w:rsid w:val="006B6D50"/>
    <w:rsid w:val="0072534D"/>
    <w:rsid w:val="00726016"/>
    <w:rsid w:val="00734A7D"/>
    <w:rsid w:val="0074522F"/>
    <w:rsid w:val="00750625"/>
    <w:rsid w:val="00750E56"/>
    <w:rsid w:val="00782FBE"/>
    <w:rsid w:val="007A1D1D"/>
    <w:rsid w:val="007C3A78"/>
    <w:rsid w:val="007C4C61"/>
    <w:rsid w:val="00857EC5"/>
    <w:rsid w:val="008820AE"/>
    <w:rsid w:val="008B74F1"/>
    <w:rsid w:val="008F4339"/>
    <w:rsid w:val="009539D6"/>
    <w:rsid w:val="00967F35"/>
    <w:rsid w:val="00986EC7"/>
    <w:rsid w:val="009D54D6"/>
    <w:rsid w:val="009E1439"/>
    <w:rsid w:val="00A14500"/>
    <w:rsid w:val="00A173FA"/>
    <w:rsid w:val="00A74139"/>
    <w:rsid w:val="00A814A5"/>
    <w:rsid w:val="00A94A31"/>
    <w:rsid w:val="00AD5C4D"/>
    <w:rsid w:val="00B16638"/>
    <w:rsid w:val="00B63471"/>
    <w:rsid w:val="00B71E06"/>
    <w:rsid w:val="00B779DA"/>
    <w:rsid w:val="00B779E3"/>
    <w:rsid w:val="00B81912"/>
    <w:rsid w:val="00B9170F"/>
    <w:rsid w:val="00BC4AD7"/>
    <w:rsid w:val="00BE7799"/>
    <w:rsid w:val="00BF13E6"/>
    <w:rsid w:val="00BF2419"/>
    <w:rsid w:val="00BF5989"/>
    <w:rsid w:val="00C26B47"/>
    <w:rsid w:val="00C47E59"/>
    <w:rsid w:val="00C86C57"/>
    <w:rsid w:val="00C92A70"/>
    <w:rsid w:val="00C946CC"/>
    <w:rsid w:val="00CC3B44"/>
    <w:rsid w:val="00CD1DE6"/>
    <w:rsid w:val="00CE0151"/>
    <w:rsid w:val="00CE7349"/>
    <w:rsid w:val="00D036FB"/>
    <w:rsid w:val="00D049CD"/>
    <w:rsid w:val="00D04C1F"/>
    <w:rsid w:val="00D07D57"/>
    <w:rsid w:val="00D12258"/>
    <w:rsid w:val="00D21C16"/>
    <w:rsid w:val="00D91A8B"/>
    <w:rsid w:val="00DB4367"/>
    <w:rsid w:val="00DE4205"/>
    <w:rsid w:val="00DE54C5"/>
    <w:rsid w:val="00DF6942"/>
    <w:rsid w:val="00E031B3"/>
    <w:rsid w:val="00E66320"/>
    <w:rsid w:val="00E80E7F"/>
    <w:rsid w:val="00EC2B40"/>
    <w:rsid w:val="00EC4C2F"/>
    <w:rsid w:val="00ED64AB"/>
    <w:rsid w:val="00ED707E"/>
    <w:rsid w:val="00EE454D"/>
    <w:rsid w:val="00F4388F"/>
    <w:rsid w:val="00F5493D"/>
    <w:rsid w:val="00F55E21"/>
    <w:rsid w:val="00F72DE9"/>
    <w:rsid w:val="00FA615C"/>
    <w:rsid w:val="00FC3B23"/>
    <w:rsid w:val="00FD4E29"/>
    <w:rsid w:val="00FF78F4"/>
    <w:rsid w:val="1B6E2B7F"/>
    <w:rsid w:val="AFC5371D"/>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qFormat="1" w:unhideWhenUsed="0"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nhideWhenUsed="0"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4"/>
    <w:semiHidden/>
    <w:qFormat/>
    <w:uiPriority w:val="99"/>
    <w:pPr>
      <w:jc w:val="left"/>
    </w:pPr>
    <w:rPr>
      <w:kern w:val="0"/>
      <w:sz w:val="20"/>
      <w:szCs w:val="20"/>
    </w:rPr>
  </w:style>
  <w:style w:type="paragraph" w:styleId="3">
    <w:name w:val="Balloon Text"/>
    <w:basedOn w:val="1"/>
    <w:link w:val="13"/>
    <w:semiHidden/>
    <w:qFormat/>
    <w:uiPriority w:val="99"/>
    <w:rPr>
      <w:kern w:val="0"/>
      <w:sz w:val="18"/>
      <w:szCs w:val="18"/>
    </w:rPr>
  </w:style>
  <w:style w:type="paragraph" w:styleId="4">
    <w:name w:val="footer"/>
    <w:basedOn w:val="1"/>
    <w:link w:val="12"/>
    <w:qFormat/>
    <w:uiPriority w:val="99"/>
    <w:pPr>
      <w:tabs>
        <w:tab w:val="center" w:pos="4153"/>
        <w:tab w:val="right" w:pos="8306"/>
      </w:tabs>
      <w:snapToGrid w:val="0"/>
      <w:jc w:val="left"/>
    </w:pPr>
    <w:rPr>
      <w:kern w:val="0"/>
      <w:sz w:val="18"/>
      <w:szCs w:val="18"/>
    </w:rPr>
  </w:style>
  <w:style w:type="paragraph" w:styleId="5">
    <w:name w:val="header"/>
    <w:basedOn w:val="1"/>
    <w:link w:val="11"/>
    <w:qFormat/>
    <w:uiPriority w:val="99"/>
    <w:pPr>
      <w:pBdr>
        <w:bottom w:val="single" w:color="auto" w:sz="6" w:space="1"/>
      </w:pBdr>
      <w:tabs>
        <w:tab w:val="center" w:pos="4153"/>
        <w:tab w:val="right" w:pos="8306"/>
      </w:tabs>
      <w:snapToGrid w:val="0"/>
      <w:jc w:val="center"/>
    </w:pPr>
    <w:rPr>
      <w:kern w:val="0"/>
      <w:sz w:val="18"/>
      <w:szCs w:val="18"/>
    </w:rPr>
  </w:style>
  <w:style w:type="paragraph" w:styleId="6">
    <w:name w:val="annotation subject"/>
    <w:basedOn w:val="2"/>
    <w:next w:val="2"/>
    <w:link w:val="15"/>
    <w:semiHidden/>
    <w:qFormat/>
    <w:uiPriority w:val="99"/>
    <w:rPr>
      <w:b/>
      <w:bCs/>
    </w:rPr>
  </w:style>
  <w:style w:type="character" w:styleId="9">
    <w:name w:val="page number"/>
    <w:basedOn w:val="8"/>
    <w:qFormat/>
    <w:uiPriority w:val="99"/>
  </w:style>
  <w:style w:type="character" w:styleId="10">
    <w:name w:val="annotation reference"/>
    <w:basedOn w:val="8"/>
    <w:semiHidden/>
    <w:qFormat/>
    <w:uiPriority w:val="99"/>
    <w:rPr>
      <w:sz w:val="21"/>
      <w:szCs w:val="21"/>
    </w:rPr>
  </w:style>
  <w:style w:type="character" w:customStyle="1" w:styleId="11">
    <w:name w:val="页眉 Char"/>
    <w:basedOn w:val="8"/>
    <w:link w:val="5"/>
    <w:qFormat/>
    <w:locked/>
    <w:uiPriority w:val="99"/>
    <w:rPr>
      <w:sz w:val="18"/>
      <w:szCs w:val="18"/>
    </w:rPr>
  </w:style>
  <w:style w:type="character" w:customStyle="1" w:styleId="12">
    <w:name w:val="页脚 Char"/>
    <w:basedOn w:val="8"/>
    <w:link w:val="4"/>
    <w:qFormat/>
    <w:locked/>
    <w:uiPriority w:val="99"/>
    <w:rPr>
      <w:sz w:val="18"/>
      <w:szCs w:val="18"/>
    </w:rPr>
  </w:style>
  <w:style w:type="character" w:customStyle="1" w:styleId="13">
    <w:name w:val="批注框文本 Char"/>
    <w:basedOn w:val="8"/>
    <w:link w:val="3"/>
    <w:semiHidden/>
    <w:qFormat/>
    <w:locked/>
    <w:uiPriority w:val="99"/>
    <w:rPr>
      <w:rFonts w:ascii="Calibri" w:hAnsi="Calibri" w:eastAsia="宋体" w:cs="Calibri"/>
      <w:sz w:val="18"/>
      <w:szCs w:val="18"/>
    </w:rPr>
  </w:style>
  <w:style w:type="character" w:customStyle="1" w:styleId="14">
    <w:name w:val="批注文字 Char"/>
    <w:basedOn w:val="8"/>
    <w:link w:val="2"/>
    <w:semiHidden/>
    <w:qFormat/>
    <w:locked/>
    <w:uiPriority w:val="99"/>
    <w:rPr>
      <w:sz w:val="21"/>
      <w:szCs w:val="21"/>
    </w:rPr>
  </w:style>
  <w:style w:type="character" w:customStyle="1" w:styleId="15">
    <w:name w:val="批注主题 Char"/>
    <w:basedOn w:val="14"/>
    <w:link w:val="6"/>
    <w:semiHidden/>
    <w:qFormat/>
    <w:locked/>
    <w:uiPriority w:val="99"/>
    <w:rPr>
      <w:b/>
      <w:bCs/>
      <w:sz w:val="21"/>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Zhu Fei</Company>
  <Pages>2</Pages>
  <Words>224</Words>
  <Characters>1281</Characters>
  <Lines>10</Lines>
  <Paragraphs>3</Paragraphs>
  <TotalTime>0</TotalTime>
  <ScaleCrop>false</ScaleCrop>
  <LinksUpToDate>false</LinksUpToDate>
  <CharactersWithSpaces>1502</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2022-12-30T09:49:00Z</dcterms:created>
  <dc:creator>null</dc:creator>
  <cp:lastModifiedBy>admin</cp:lastModifiedBy>
  <cp:lastPrinted>2022-12-30T09:49:00Z</cp:lastPrinted>
  <dcterms:modified xsi:type="dcterms:W3CDTF">2023-01-03T13:56:34Z</dcterms:modified>
  <dc:title>天津市北辰区市场监督管理局</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