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津辰市</w:t>
      </w:r>
      <w:r>
        <w:rPr>
          <w:rFonts w:hint="eastAsia" w:ascii="Times New Roman" w:hAnsi="Times New Roman" w:eastAsia="仿宋_GB2312" w:cs="仿宋"/>
          <w:color w:val="000000"/>
          <w:sz w:val="32"/>
          <w:szCs w:val="32"/>
          <w:u w:val="none"/>
        </w:rPr>
        <w:t>监</w:t>
      </w:r>
      <w:r>
        <w:rPr>
          <w:rFonts w:hint="eastAsia" w:ascii="Times New Roman" w:hAnsi="Times New Roman" w:eastAsia="仿宋_GB2312" w:cs="仿宋"/>
          <w:color w:val="000000"/>
          <w:sz w:val="32"/>
          <w:szCs w:val="32"/>
          <w:u w:val="none"/>
          <w:lang w:eastAsia="zh-CN"/>
        </w:rPr>
        <w:t>处</w:t>
      </w:r>
      <w:r>
        <w:rPr>
          <w:rFonts w:hint="eastAsia" w:ascii="仿宋_GB2312" w:hAnsi="仿宋_GB2312" w:eastAsia="仿宋_GB2312" w:cs="仿宋_GB2312"/>
          <w:color w:val="000000"/>
          <w:sz w:val="32"/>
          <w:szCs w:val="32"/>
          <w:u w:val="none"/>
        </w:rPr>
        <w:t>罚〔20</w:t>
      </w:r>
      <w:r>
        <w:rPr>
          <w:rFonts w:hint="eastAsia" w:ascii="仿宋_GB2312" w:hAnsi="仿宋_GB2312" w:eastAsia="仿宋_GB2312" w:cs="仿宋_GB2312"/>
          <w:color w:val="000000"/>
          <w:sz w:val="32"/>
          <w:szCs w:val="32"/>
          <w:u w:val="none"/>
          <w:lang w:val="en-US" w:eastAsia="zh-CN"/>
        </w:rPr>
        <w:t>22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20</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仿宋_GB2312" w:hAnsi="Times New Roman" w:eastAsia="仿宋_GB2312" w:cs="Mongolian Baiti"/>
          <w:sz w:val="32"/>
          <w:szCs w:val="32"/>
          <w:u w:val="none"/>
        </w:rPr>
      </w:pPr>
      <w:r>
        <w:rPr>
          <w:rFonts w:hint="eastAsia" w:ascii="仿宋_GB2312" w:hAnsi="Times New Roman" w:eastAsia="仿宋_GB2312" w:cs="微软雅黑"/>
          <w:kern w:val="1"/>
          <w:sz w:val="32"/>
          <w:szCs w:val="32"/>
          <w:u w:val="none"/>
        </w:rPr>
        <w:t>当事人</w:t>
      </w:r>
      <w:r>
        <w:rPr>
          <w:rFonts w:hint="eastAsia" w:ascii="仿宋_GB2312" w:hAnsi="Times New Roman" w:eastAsia="仿宋_GB2312" w:cs="Mongolian Baiti"/>
          <w:kern w:val="1"/>
          <w:sz w:val="32"/>
          <w:szCs w:val="32"/>
          <w:u w:val="none"/>
        </w:rPr>
        <w:t>：</w:t>
      </w:r>
      <w:r>
        <w:rPr>
          <w:rFonts w:hint="eastAsia" w:ascii="仿宋_GB2312" w:hAnsi="仿宋_GB2312" w:eastAsia="仿宋_GB2312" w:cs="仿宋_GB2312"/>
          <w:sz w:val="32"/>
          <w:szCs w:val="32"/>
          <w:lang w:val="en-US"/>
        </w:rPr>
        <w:t>天津市北辰区红星品尚饭店(刘艳）</w:t>
      </w:r>
      <w:r>
        <w:rPr>
          <w:rFonts w:hint="eastAsia" w:ascii="仿宋_GB2312" w:hAnsi="Times New Roman" w:eastAsia="仿宋_GB2312" w:cs="Mongolian Baiti"/>
          <w:kern w:val="1"/>
          <w:sz w:val="32"/>
          <w:szCs w:val="32"/>
          <w:u w:val="none"/>
        </w:rPr>
        <w:t xml:space="preserve">      </w:t>
      </w:r>
      <w:r>
        <w:rPr>
          <w:rFonts w:hint="eastAsia" w:ascii="仿宋_GB2312" w:hAnsi="Times New Roman" w:eastAsia="仿宋_GB2312" w:cs="Mongolian Baiti"/>
          <w:kern w:val="1"/>
          <w:sz w:val="32"/>
          <w:szCs w:val="32"/>
          <w:u w:val="none"/>
          <w:lang w:val="en-US" w:eastAsia="zh-CN"/>
        </w:rPr>
        <w:t xml:space="preserve">                              </w:t>
      </w:r>
      <w:r>
        <w:rPr>
          <w:rFonts w:hint="eastAsia" w:ascii="仿宋_GB2312"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统一社会信用代码（注册号）：</w:t>
      </w:r>
      <w:r>
        <w:rPr>
          <w:rFonts w:hint="eastAsia" w:ascii="仿宋_GB2312" w:hAnsi="仿宋_GB2312" w:eastAsia="仿宋_GB2312" w:cs="仿宋_GB2312"/>
          <w:sz w:val="32"/>
          <w:szCs w:val="32"/>
          <w:lang w:val="en-US"/>
        </w:rPr>
        <w:t>92120113MA0647XB3W</w:t>
      </w:r>
      <w:r>
        <w:rPr>
          <w:rFonts w:hint="eastAsia" w:ascii="仿宋_GB2312" w:hAnsi="Times New Roman" w:eastAsia="仿宋_GB2312" w:cs="Mongolian Baiti"/>
          <w:kern w:val="1"/>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default" w:ascii="仿宋_GB2312" w:hAnsi="Times New Roman" w:eastAsia="仿宋_GB2312" w:cs="Mongolian Baiti"/>
          <w:kern w:val="1"/>
          <w:sz w:val="32"/>
          <w:szCs w:val="32"/>
          <w:u w:val="none"/>
          <w:lang w:val="en-US" w:eastAsia="zh-CN"/>
        </w:rPr>
      </w:pPr>
      <w:r>
        <w:rPr>
          <w:rFonts w:hint="eastAsia" w:ascii="仿宋_GB2312" w:hAnsi="Times New Roman" w:eastAsia="仿宋_GB2312" w:cs="Mongolian Baiti"/>
          <w:kern w:val="1"/>
          <w:sz w:val="32"/>
          <w:szCs w:val="32"/>
          <w:u w:val="none"/>
        </w:rPr>
        <w:t>住所</w:t>
      </w:r>
      <w:r>
        <w:rPr>
          <w:rFonts w:hint="eastAsia" w:ascii="仿宋_GB2312" w:hAnsi="Times New Roman" w:eastAsia="仿宋_GB2312" w:cs="Mongolian Baiti"/>
          <w:kern w:val="1"/>
          <w:sz w:val="32"/>
          <w:szCs w:val="32"/>
          <w:u w:val="none"/>
          <w:lang w:val="en-US" w:eastAsia="zh-CN"/>
        </w:rPr>
        <w:t>(</w:t>
      </w:r>
      <w:r>
        <w:rPr>
          <w:rFonts w:hint="eastAsia" w:ascii="仿宋_GB2312" w:hAnsi="Times New Roman" w:eastAsia="仿宋_GB2312" w:cs="Mongolian Baiti"/>
          <w:kern w:val="1"/>
          <w:sz w:val="32"/>
          <w:szCs w:val="32"/>
          <w:u w:val="none"/>
        </w:rPr>
        <w:t>住址</w:t>
      </w:r>
      <w:r>
        <w:rPr>
          <w:rFonts w:hint="eastAsia" w:ascii="仿宋_GB2312" w:hAnsi="Times New Roman" w:eastAsia="仿宋_GB2312" w:cs="Mongolian Baiti"/>
          <w:kern w:val="1"/>
          <w:sz w:val="32"/>
          <w:szCs w:val="32"/>
          <w:u w:val="none"/>
          <w:lang w:val="en-US" w:eastAsia="zh-CN"/>
        </w:rPr>
        <w:t>):</w:t>
      </w:r>
      <w:r>
        <w:rPr>
          <w:rFonts w:hint="eastAsia" w:ascii="仿宋_GB2312" w:hAnsi="仿宋_GB2312" w:eastAsia="仿宋_GB2312" w:cs="仿宋_GB2312"/>
          <w:bCs/>
          <w:sz w:val="32"/>
          <w:szCs w:val="32"/>
          <w:u w:val="none"/>
          <w:lang w:eastAsia="zh-CN"/>
        </w:rPr>
        <w:t>天津市北辰区京津公路312号红星美凯龙世贸家居有限公司内A8001-1号</w:t>
      </w:r>
      <w:r>
        <w:rPr>
          <w:rFonts w:hint="eastAsia" w:ascii="仿宋_GB2312"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法定代表人（负责人、经营者）：</w:t>
      </w:r>
      <w:r>
        <w:rPr>
          <w:rFonts w:hint="eastAsia" w:ascii="仿宋_GB2312" w:hAnsi="仿宋_GB2312" w:eastAsia="仿宋_GB2312" w:cs="仿宋_GB2312"/>
          <w:sz w:val="32"/>
          <w:szCs w:val="32"/>
          <w:lang w:val="en-US"/>
        </w:rPr>
        <w:t>刘艳</w:t>
      </w:r>
      <w:r>
        <w:rPr>
          <w:rFonts w:hint="eastAsia" w:ascii="仿宋_GB2312"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身份证（其他有效证件）号码：</w:t>
      </w:r>
      <w:r>
        <w:rPr>
          <w:rFonts w:hint="eastAsia" w:ascii="仿宋_GB2312" w:hAnsi="仿宋_GB2312" w:eastAsia="仿宋_GB2312" w:cs="仿宋_GB2312"/>
          <w:sz w:val="32"/>
          <w:szCs w:val="32"/>
          <w:u w:val="none"/>
          <w:lang w:val="en-US" w:eastAsia="zh-CN"/>
        </w:rPr>
        <w:t>\</w:t>
      </w:r>
      <w:r>
        <w:rPr>
          <w:rFonts w:hint="eastAsia" w:ascii="仿宋_GB2312" w:hAnsi="Times New Roman" w:eastAsia="仿宋_GB2312" w:cs="Mongolian Baiti"/>
          <w:kern w:val="1"/>
          <w:sz w:val="32"/>
          <w:szCs w:val="32"/>
          <w:u w:val="none"/>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140" w:hanging="140"/>
        <w:textAlignment w:val="auto"/>
        <w:outlineLvl w:val="9"/>
        <w:rPr>
          <w:rFonts w:ascii="仿宋_GB2312" w:hAnsi="Times New Roman" w:eastAsia="仿宋_GB2312" w:cs="Mongolian Baiti"/>
          <w:kern w:val="1"/>
          <w:sz w:val="32"/>
          <w:szCs w:val="32"/>
          <w:u w:val="none"/>
        </w:rPr>
      </w:pPr>
      <w:r>
        <w:rPr>
          <w:rFonts w:hint="eastAsia" w:ascii="仿宋_GB2312" w:hAnsi="Times New Roman" w:eastAsia="仿宋_GB2312" w:cs="Mongolian Baiti"/>
          <w:kern w:val="1"/>
          <w:sz w:val="32"/>
          <w:szCs w:val="32"/>
          <w:u w:val="none"/>
        </w:rPr>
        <w:t>联系电话：</w:t>
      </w:r>
      <w:r>
        <w:rPr>
          <w:rFonts w:hint="eastAsia" w:ascii="仿宋_GB2312" w:hAnsi="仿宋_GB2312" w:eastAsia="仿宋_GB2312" w:cs="仿宋_GB2312"/>
          <w:sz w:val="32"/>
          <w:szCs w:val="32"/>
          <w:u w:val="none"/>
          <w:lang w:val="en-US" w:eastAsia="zh-CN"/>
        </w:rPr>
        <w:t>\</w:t>
      </w:r>
      <w:r>
        <w:rPr>
          <w:rFonts w:hint="eastAsia" w:ascii="仿宋_GB2312" w:eastAsia="仿宋_GB2312"/>
          <w:color w:val="000000"/>
          <w:sz w:val="32"/>
          <w:szCs w:val="32"/>
          <w:u w:val="none"/>
        </w:rPr>
        <w:t xml:space="preserve">   </w:t>
      </w:r>
      <w:r>
        <w:rPr>
          <w:rFonts w:hint="eastAsia" w:ascii="仿宋_GB2312" w:eastAsia="仿宋_GB2312"/>
          <w:color w:val="000000"/>
          <w:sz w:val="32"/>
          <w:szCs w:val="32"/>
          <w:u w:val="none"/>
          <w:lang w:val="en-US" w:eastAsia="zh-CN"/>
        </w:rPr>
        <w:t xml:space="preserve"> </w:t>
      </w:r>
      <w:r>
        <w:rPr>
          <w:rFonts w:hint="eastAsia" w:ascii="仿宋_GB2312" w:hAnsi="Times New Roman" w:eastAsia="仿宋_GB2312" w:cs="Mongolian Baiti"/>
          <w:kern w:val="1"/>
          <w:sz w:val="32"/>
          <w:szCs w:val="32"/>
          <w:u w:val="none"/>
        </w:rPr>
        <w:t xml:space="preserve"> 其他联系方式：  无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仿宋_GB2312" w:hAnsi="仿宋_GB2312" w:eastAsia="仿宋_GB2312" w:cs="仿宋_GB2312"/>
          <w:sz w:val="32"/>
          <w:szCs w:val="32"/>
          <w:u w:val="none"/>
          <w:lang w:val="en-US" w:eastAsia="zh-CN"/>
        </w:rPr>
      </w:pPr>
      <w:r>
        <w:rPr>
          <w:rFonts w:hint="eastAsia" w:ascii="仿宋_GB2312" w:hAnsi="Times New Roman" w:eastAsia="仿宋_GB2312" w:cs="仿宋_GB2312"/>
          <w:sz w:val="32"/>
          <w:szCs w:val="32"/>
          <w:u w:val="none"/>
        </w:rPr>
        <w:t>联系地址：</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2022年1月21日，我局通过网络订餐智能监控系统发现土大力(红星美凯龙店)涉嫌超范围制售生食:鱼籽寿司，根据线索执法人员依法对当事人经营的天津市北辰区红星品尚饭店进行监督检查，发现该户在“饿了么”平台</w:t>
      </w:r>
      <w:r>
        <w:rPr>
          <w:rFonts w:hint="eastAsia" w:ascii="仿宋_GB2312" w:hAnsi="仿宋_GB2312" w:eastAsia="仿宋_GB2312" w:cs="仿宋_GB2312"/>
          <w:sz w:val="32"/>
          <w:szCs w:val="32"/>
          <w:u w:val="none"/>
          <w:lang w:val="en-US" w:eastAsia="zh-CN"/>
        </w:rPr>
        <w:t>经营网络店铺“土大力（红星美凯龙店）”，店铺商家从业资质营业执照、食品经营许可证与现场提供一致。“饿了么”平台显示2021年7月22日到2022年1月19日，该店共销售“鱼籽寿司”22份。该店食品经营许可证经营项目：预包装食品销售（含冷藏冷冻食品）；热食类食品制售；冷食类食品制售（含冷荤菜）；自制饮品制售（不含啤酒）（不含泡制酒）。不包括生食类食品制售。当事人涉嫌</w:t>
      </w:r>
      <w:r>
        <w:rPr>
          <w:rFonts w:hint="eastAsia" w:ascii="Times New Roman" w:hAnsi="Times New Roman" w:eastAsia="仿宋_GB2312" w:cs="仿宋_GB2312"/>
          <w:bCs/>
          <w:sz w:val="32"/>
          <w:szCs w:val="32"/>
          <w:lang w:val="en-US" w:eastAsia="zh-CN"/>
        </w:rPr>
        <w:t>入网食品经营者超过许可的经营项目范围从事食品经营</w:t>
      </w:r>
      <w:r>
        <w:rPr>
          <w:rFonts w:hint="eastAsia" w:ascii="Times New Roman" w:hAnsi="Times New Roman" w:eastAsia="仿宋_GB2312" w:cs="仿宋"/>
          <w:sz w:val="32"/>
          <w:szCs w:val="32"/>
          <w:u w:val="none"/>
          <w:lang w:val="en-US" w:eastAsia="zh-CN"/>
        </w:rPr>
        <w:t>。</w:t>
      </w:r>
      <w:r>
        <w:rPr>
          <w:rFonts w:hint="eastAsia" w:ascii="仿宋_GB2312" w:hAnsi="仿宋_GB2312" w:eastAsia="仿宋_GB2312" w:cs="仿宋_GB2312"/>
          <w:sz w:val="32"/>
          <w:szCs w:val="32"/>
          <w:u w:val="none"/>
          <w:lang w:val="en-US" w:eastAsia="zh-CN"/>
        </w:rPr>
        <w:t>同日，执法人员报经局领导批准，予以立案调查。</w:t>
      </w:r>
    </w:p>
    <w:p>
      <w:pPr>
        <w:pStyle w:val="3"/>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Times New Roman" w:eastAsia="仿宋_GB2312" w:cs="仿宋_GB2312"/>
          <w:sz w:val="32"/>
          <w:szCs w:val="32"/>
          <w:u w:val="none"/>
          <w:lang w:eastAsia="zh-CN"/>
        </w:rPr>
        <w:t>经查明，</w:t>
      </w:r>
      <w:r>
        <w:rPr>
          <w:rFonts w:hint="eastAsia" w:ascii="仿宋_GB2312" w:hAnsi="仿宋_GB2312" w:eastAsia="仿宋_GB2312" w:cs="仿宋_GB2312"/>
          <w:kern w:val="2"/>
          <w:sz w:val="32"/>
          <w:szCs w:val="32"/>
          <w:u w:val="none"/>
          <w:lang w:val="en-US" w:eastAsia="zh-CN" w:bidi="ar-SA"/>
        </w:rPr>
        <w:t>2016年10月17日，当事人依法取得天津市北辰区红星品尚饭店营</w:t>
      </w:r>
      <w:r>
        <w:rPr>
          <w:rFonts w:hint="eastAsia" w:ascii="仿宋_GB2312" w:hAnsi="仿宋_GB2312" w:eastAsia="仿宋_GB2312" w:cs="仿宋_GB2312"/>
          <w:sz w:val="32"/>
          <w:szCs w:val="32"/>
          <w:u w:val="none"/>
          <w:lang w:val="en-US" w:eastAsia="zh-CN"/>
        </w:rPr>
        <w:t>业执照，2021年7月8日，当事人依法取得食品经营许可证，主体业态：餐饮服务提供者（含网络经营）。经营项目：预包装食品销售（含冷藏冷冻食品）；热食类食品制售；冷食类食品制售（含冷荤菜）；自制饮品制售（不含啤酒）（不含泡制酒）。2021年9月17日，当事人在经营项目不包括生食类食品制售情况下，擅自在</w:t>
      </w:r>
      <w:r>
        <w:rPr>
          <w:rFonts w:hint="eastAsia" w:ascii="仿宋_GB2312" w:hAnsi="仿宋_GB2312" w:eastAsia="仿宋_GB2312" w:cs="仿宋_GB2312"/>
          <w:bCs/>
          <w:sz w:val="32"/>
          <w:szCs w:val="32"/>
          <w:u w:val="none"/>
          <w:lang w:val="en-US" w:eastAsia="zh-CN"/>
        </w:rPr>
        <w:t>“饿了么”平台</w:t>
      </w:r>
      <w:r>
        <w:rPr>
          <w:rFonts w:hint="eastAsia" w:ascii="仿宋_GB2312" w:hAnsi="仿宋_GB2312" w:eastAsia="仿宋_GB2312" w:cs="仿宋_GB2312"/>
          <w:sz w:val="32"/>
          <w:szCs w:val="32"/>
          <w:u w:val="none"/>
          <w:lang w:val="en-US" w:eastAsia="zh-CN"/>
        </w:rPr>
        <w:t>“土大力（红星美凯龙店）”店铺制售生食“鱼籽寿司”。</w:t>
      </w:r>
      <w:r>
        <w:rPr>
          <w:rFonts w:hint="eastAsia" w:ascii="仿宋_GB2312" w:hAnsi="仿宋_GB2312" w:eastAsia="仿宋_GB2312" w:cs="仿宋_GB2312"/>
          <w:bCs/>
          <w:sz w:val="32"/>
          <w:szCs w:val="32"/>
          <w:u w:val="none"/>
          <w:lang w:val="en-US" w:eastAsia="zh-CN"/>
        </w:rPr>
        <w:t>2022年1月21日，我局执法人员根据</w:t>
      </w:r>
      <w:r>
        <w:rPr>
          <w:rFonts w:hint="eastAsia" w:ascii="仿宋_GB2312" w:hAnsi="仿宋_GB2312" w:eastAsia="仿宋_GB2312" w:cs="仿宋_GB2312"/>
          <w:sz w:val="32"/>
          <w:szCs w:val="32"/>
          <w:lang w:val="en-US" w:eastAsia="zh-CN"/>
        </w:rPr>
        <w:t>网络订餐智能监控系统线索，</w:t>
      </w:r>
      <w:r>
        <w:rPr>
          <w:rFonts w:hint="eastAsia" w:ascii="仿宋_GB2312" w:hAnsi="仿宋_GB2312" w:eastAsia="仿宋_GB2312" w:cs="仿宋_GB2312"/>
          <w:sz w:val="32"/>
          <w:szCs w:val="32"/>
          <w:u w:val="none"/>
          <w:lang w:val="en-US" w:eastAsia="zh-CN"/>
        </w:rPr>
        <w:t>依法对当事人经营的天津市北辰区红星品尚饭店进行监督检查</w:t>
      </w:r>
      <w:r>
        <w:rPr>
          <w:rFonts w:hint="eastAsia" w:ascii="仿宋_GB2312" w:hAnsi="仿宋_GB2312" w:eastAsia="仿宋_GB2312" w:cs="仿宋_GB2312"/>
          <w:bCs/>
          <w:sz w:val="32"/>
          <w:szCs w:val="32"/>
          <w:u w:val="none"/>
          <w:lang w:val="en-US" w:eastAsia="zh-CN"/>
        </w:rPr>
        <w:t>，</w:t>
      </w:r>
      <w:r>
        <w:rPr>
          <w:rFonts w:hint="eastAsia" w:ascii="仿宋_GB2312" w:hAnsi="仿宋_GB2312" w:eastAsia="仿宋_GB2312" w:cs="仿宋_GB2312"/>
          <w:sz w:val="32"/>
          <w:szCs w:val="32"/>
          <w:u w:val="none"/>
          <w:lang w:val="en-US" w:eastAsia="zh-CN"/>
        </w:rPr>
        <w:t>“饿了么”平台显示2021年7月22日到2022年1月19日，该店食品经营许可证经营项目不包括生食类食品制售的情况下，共销售生食“鱼籽寿司”22份</w:t>
      </w:r>
      <w:r>
        <w:rPr>
          <w:rFonts w:hint="eastAsia" w:ascii="仿宋_GB2312" w:hAnsi="仿宋_GB2312" w:eastAsia="仿宋_GB2312" w:cs="仿宋_GB2312"/>
          <w:bCs/>
          <w:sz w:val="32"/>
          <w:szCs w:val="32"/>
          <w:lang w:val="en-US" w:eastAsia="zh-CN"/>
        </w:rPr>
        <w:t>。</w:t>
      </w:r>
      <w:r>
        <w:rPr>
          <w:rFonts w:hint="eastAsia" w:ascii="Times New Roman" w:hAnsi="Times New Roman" w:eastAsia="仿宋_GB2312" w:cs="仿宋_GB2312"/>
          <w:kern w:val="2"/>
          <w:sz w:val="32"/>
          <w:szCs w:val="32"/>
          <w:lang w:val="en-US" w:eastAsia="zh-CN" w:bidi="ar-SA"/>
        </w:rPr>
        <w:t>上述行为满足</w:t>
      </w:r>
      <w:bookmarkStart w:id="0" w:name="_GoBack"/>
      <w:r>
        <w:rPr>
          <w:rFonts w:hint="eastAsia" w:ascii="Times New Roman" w:hAnsi="Times New Roman" w:eastAsia="仿宋_GB2312" w:cs="仿宋_GB2312"/>
          <w:bCs/>
          <w:sz w:val="32"/>
          <w:szCs w:val="32"/>
          <w:lang w:val="en-US" w:eastAsia="zh-CN"/>
        </w:rPr>
        <w:t>入网食品经营者超过许可的经营项目范围从事食品经营</w:t>
      </w:r>
      <w:bookmarkEnd w:id="0"/>
      <w:r>
        <w:rPr>
          <w:rFonts w:hint="eastAsia" w:ascii="仿宋_GB2312" w:hAnsi="仿宋_GB2312" w:eastAsia="仿宋_GB2312" w:cs="仿宋_GB2312"/>
          <w:sz w:val="32"/>
          <w:szCs w:val="32"/>
          <w:u w:val="none"/>
          <w:lang w:val="en-US" w:eastAsia="zh-CN"/>
        </w:rPr>
        <w:t>的构成要件。本案货值金额484元，违法所得199元。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Times New Roman" w:eastAsia="仿宋_GB2312" w:cs="仿宋_GB2312"/>
          <w:kern w:val="2"/>
          <w:sz w:val="32"/>
          <w:szCs w:val="32"/>
          <w:u w:val="none"/>
          <w:lang w:val="en-US" w:eastAsia="zh-CN" w:bidi="ar-SA"/>
        </w:rPr>
        <w:t xml:space="preserve">    上述事实，主要有以下证据证明:</w:t>
      </w:r>
      <w:r>
        <w:rPr>
          <w:rFonts w:hint="eastAsia" w:ascii="仿宋_GB2312" w:hAnsi="仿宋_GB2312" w:eastAsia="仿宋_GB2312" w:cs="仿宋_GB2312"/>
          <w:kern w:val="2"/>
          <w:sz w:val="32"/>
          <w:szCs w:val="32"/>
          <w:lang w:val="en-US" w:eastAsia="zh-CN" w:bidi="ar-SA"/>
        </w:rPr>
        <w:t>1.当事人营业执照复印件、经营者刘艳身份证复印件、授权委托书、被委托人刘亮身份证复印件各1份；2.</w:t>
      </w:r>
      <w:r>
        <w:rPr>
          <w:rFonts w:hint="eastAsia" w:ascii="仿宋_GB2312" w:hAnsi="仿宋_GB2312" w:eastAsia="仿宋_GB2312" w:cs="仿宋_GB2312"/>
          <w:sz w:val="32"/>
          <w:szCs w:val="32"/>
          <w:lang w:val="en-US" w:eastAsia="zh-CN"/>
        </w:rPr>
        <w:t>“饿了么”平台</w:t>
      </w:r>
      <w:r>
        <w:rPr>
          <w:rFonts w:hint="eastAsia" w:ascii="仿宋_GB2312" w:hAnsi="仿宋_GB2312" w:eastAsia="仿宋_GB2312" w:cs="仿宋_GB2312"/>
          <w:sz w:val="32"/>
          <w:szCs w:val="32"/>
          <w:u w:val="none"/>
          <w:lang w:val="en-US" w:eastAsia="zh-CN"/>
        </w:rPr>
        <w:t>网络店铺土大力（红星美凯龙店）商家信息截图2张</w:t>
      </w:r>
      <w:r>
        <w:rPr>
          <w:rFonts w:hint="eastAsia" w:ascii="仿宋_GB2312" w:hAnsi="仿宋_GB2312" w:eastAsia="仿宋_GB2312" w:cs="仿宋_GB2312"/>
          <w:kern w:val="2"/>
          <w:sz w:val="32"/>
          <w:szCs w:val="32"/>
          <w:lang w:val="en-US" w:eastAsia="zh-CN" w:bidi="ar-SA"/>
        </w:rPr>
        <w:t>；3.现场笔录1份、现场检查视频光盘1张，；</w:t>
      </w:r>
      <w:r>
        <w:rPr>
          <w:rFonts w:hint="eastAsia" w:ascii="仿宋_GB2312" w:hAnsi="仿宋_GB2312" w:eastAsia="仿宋_GB2312" w:cs="仿宋_GB2312"/>
          <w:sz w:val="32"/>
          <w:szCs w:val="32"/>
          <w:lang w:val="en-US" w:eastAsia="zh-CN"/>
        </w:rPr>
        <w:t>4.当事人食品</w:t>
      </w:r>
      <w:r>
        <w:rPr>
          <w:rFonts w:hint="eastAsia" w:ascii="仿宋_GB2312" w:hAnsi="仿宋_GB2312" w:eastAsia="仿宋_GB2312" w:cs="仿宋_GB2312"/>
          <w:sz w:val="32"/>
          <w:szCs w:val="32"/>
          <w:u w:val="none"/>
          <w:lang w:val="en-US" w:eastAsia="zh-CN"/>
        </w:rPr>
        <w:t>经营许可证复印件1份；</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刘亮</w:t>
      </w:r>
      <w:r>
        <w:rPr>
          <w:rFonts w:hint="eastAsia" w:ascii="仿宋_GB2312" w:hAnsi="仿宋_GB2312" w:eastAsia="仿宋_GB2312" w:cs="仿宋_GB2312"/>
          <w:sz w:val="32"/>
          <w:szCs w:val="32"/>
        </w:rPr>
        <w:t>的询问笔录</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u w:val="none"/>
          <w:lang w:val="en-US" w:eastAsia="zh-CN"/>
        </w:rPr>
        <w:t>进货票据、</w:t>
      </w:r>
      <w:r>
        <w:rPr>
          <w:rFonts w:hint="eastAsia" w:ascii="Times New Roman" w:hAnsi="Times New Roman" w:eastAsia="仿宋_GB2312" w:cs="仿宋"/>
          <w:sz w:val="32"/>
          <w:szCs w:val="32"/>
          <w:u w:val="none"/>
          <w:lang w:val="en-US" w:eastAsia="zh-CN"/>
        </w:rPr>
        <w:t>供货商营业执照</w:t>
      </w:r>
      <w:r>
        <w:rPr>
          <w:rFonts w:hint="eastAsia" w:ascii="仿宋_GB2312" w:hAnsi="仿宋_GB2312" w:eastAsia="仿宋_GB2312" w:cs="仿宋_GB2312"/>
          <w:sz w:val="32"/>
          <w:szCs w:val="32"/>
          <w:u w:val="none"/>
          <w:lang w:val="en-US" w:eastAsia="zh-CN"/>
        </w:rPr>
        <w:t>复印</w:t>
      </w:r>
      <w:r>
        <w:rPr>
          <w:rFonts w:hint="eastAsia" w:ascii="仿宋_GB2312" w:hAnsi="仿宋_GB2312" w:eastAsia="仿宋_GB2312" w:cs="仿宋_GB2312"/>
          <w:sz w:val="32"/>
          <w:szCs w:val="32"/>
          <w:lang w:val="en-US" w:eastAsia="zh-CN"/>
        </w:rPr>
        <w:t>件、食品经营许可证复印件各1份；7.主要原料成本计算说明、</w:t>
      </w:r>
      <w:r>
        <w:rPr>
          <w:rFonts w:hint="eastAsia" w:ascii="仿宋_GB2312" w:hAnsi="仿宋_GB2312" w:eastAsia="仿宋_GB2312" w:cs="仿宋_GB2312"/>
          <w:sz w:val="32"/>
          <w:szCs w:val="32"/>
        </w:rPr>
        <w:t>货值金额</w:t>
      </w:r>
      <w:r>
        <w:rPr>
          <w:rFonts w:hint="eastAsia" w:ascii="仿宋_GB2312" w:hAnsi="仿宋_GB2312" w:eastAsia="仿宋_GB2312" w:cs="仿宋_GB2312"/>
          <w:sz w:val="32"/>
          <w:szCs w:val="32"/>
          <w:lang w:eastAsia="zh-CN"/>
        </w:rPr>
        <w:t>和违法所得</w:t>
      </w:r>
      <w:r>
        <w:rPr>
          <w:rFonts w:hint="eastAsia" w:ascii="仿宋_GB2312" w:hAnsi="仿宋_GB2312" w:eastAsia="仿宋_GB2312" w:cs="仿宋_GB2312"/>
          <w:sz w:val="32"/>
          <w:szCs w:val="32"/>
        </w:rPr>
        <w:t>计算表</w:t>
      </w:r>
      <w:r>
        <w:rPr>
          <w:rFonts w:hint="eastAsia" w:ascii="仿宋_GB2312" w:hAnsi="仿宋_GB2312" w:eastAsia="仿宋_GB2312" w:cs="仿宋_GB2312"/>
          <w:sz w:val="32"/>
          <w:szCs w:val="32"/>
          <w:lang w:eastAsia="zh-CN"/>
        </w:rPr>
        <w:t>、鱼籽寿司菜品制作手册各</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eastAsia="仿宋_GB2312"/>
          <w:color w:val="000000"/>
          <w:sz w:val="32"/>
          <w:szCs w:val="32"/>
          <w:u w:val="none"/>
          <w:lang w:eastAsia="zh-CN"/>
        </w:rPr>
      </w:pPr>
      <w:r>
        <w:rPr>
          <w:rFonts w:hint="eastAsia" w:ascii="仿宋_GB2312" w:hAnsi="楷体_GB2312" w:eastAsia="仿宋_GB2312" w:cs="楷体_GB2312"/>
          <w:color w:val="000000"/>
          <w:sz w:val="32"/>
          <w:szCs w:val="32"/>
          <w:u w:val="none"/>
        </w:rPr>
        <w:t>本局于20</w:t>
      </w:r>
      <w:r>
        <w:rPr>
          <w:rFonts w:hint="eastAsia" w:ascii="仿宋_GB2312" w:hAnsi="楷体_GB2312" w:eastAsia="仿宋_GB2312" w:cs="楷体_GB2312"/>
          <w:color w:val="000000"/>
          <w:sz w:val="32"/>
          <w:szCs w:val="32"/>
          <w:u w:val="none"/>
          <w:lang w:val="en-US" w:eastAsia="zh-CN"/>
        </w:rPr>
        <w:t>22</w:t>
      </w:r>
      <w:r>
        <w:rPr>
          <w:rFonts w:hint="eastAsia" w:ascii="仿宋_GB2312" w:hAnsi="楷体_GB2312" w:eastAsia="仿宋_GB2312" w:cs="楷体_GB2312"/>
          <w:color w:val="000000"/>
          <w:sz w:val="32"/>
          <w:szCs w:val="32"/>
          <w:u w:val="none"/>
        </w:rPr>
        <w:t>年</w:t>
      </w:r>
      <w:r>
        <w:rPr>
          <w:rFonts w:hint="eastAsia" w:ascii="仿宋_GB2312" w:hAnsi="楷体_GB2312" w:eastAsia="仿宋_GB2312" w:cs="楷体_GB2312"/>
          <w:color w:val="000000"/>
          <w:sz w:val="32"/>
          <w:szCs w:val="32"/>
          <w:u w:val="none"/>
          <w:lang w:val="en-US" w:eastAsia="zh-CN"/>
        </w:rPr>
        <w:t>4</w:t>
      </w:r>
      <w:r>
        <w:rPr>
          <w:rFonts w:hint="eastAsia" w:ascii="仿宋_GB2312" w:hAnsi="楷体_GB2312" w:eastAsia="仿宋_GB2312" w:cs="楷体_GB2312"/>
          <w:color w:val="000000"/>
          <w:sz w:val="32"/>
          <w:szCs w:val="32"/>
          <w:u w:val="none"/>
        </w:rPr>
        <w:t>月</w:t>
      </w:r>
      <w:r>
        <w:rPr>
          <w:rFonts w:hint="eastAsia" w:ascii="仿宋_GB2312" w:hAnsi="楷体_GB2312" w:eastAsia="仿宋_GB2312" w:cs="楷体_GB2312"/>
          <w:color w:val="000000"/>
          <w:sz w:val="32"/>
          <w:szCs w:val="32"/>
          <w:u w:val="none"/>
          <w:lang w:val="en-US" w:eastAsia="zh-CN"/>
        </w:rPr>
        <w:t>11</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w:t>
      </w:r>
      <w:r>
        <w:rPr>
          <w:rFonts w:hint="eastAsia" w:ascii="仿宋_GB2312" w:hAnsi="Arial" w:eastAsia="仿宋_GB2312" w:cs="Arial"/>
          <w:color w:val="000000"/>
          <w:sz w:val="32"/>
          <w:szCs w:val="32"/>
          <w:u w:val="none"/>
          <w:shd w:val="clear" w:color="auto" w:fill="FFFFFF"/>
          <w:lang w:eastAsia="zh-CN"/>
        </w:rPr>
        <w:t>辰</w:t>
      </w:r>
      <w:r>
        <w:rPr>
          <w:rFonts w:hint="eastAsia" w:ascii="仿宋_GB2312" w:hAnsi="Arial" w:eastAsia="仿宋_GB2312" w:cs="Arial"/>
          <w:color w:val="000000"/>
          <w:sz w:val="32"/>
          <w:szCs w:val="32"/>
          <w:u w:val="none"/>
          <w:shd w:val="clear" w:color="auto" w:fill="FFFFFF"/>
        </w:rPr>
        <w:t>市监罚告〔20</w:t>
      </w:r>
      <w:r>
        <w:rPr>
          <w:rFonts w:hint="eastAsia" w:ascii="仿宋_GB2312" w:hAnsi="Arial" w:eastAsia="仿宋_GB2312" w:cs="Arial"/>
          <w:color w:val="000000"/>
          <w:sz w:val="32"/>
          <w:szCs w:val="32"/>
          <w:u w:val="none"/>
          <w:shd w:val="clear" w:color="auto" w:fill="FFFFFF"/>
          <w:lang w:val="en-US" w:eastAsia="zh-CN"/>
        </w:rPr>
        <w:t>22</w:t>
      </w:r>
      <w:r>
        <w:rPr>
          <w:rFonts w:hint="eastAsia" w:ascii="仿宋_GB2312" w:hAnsi="Arial" w:eastAsia="仿宋_GB2312" w:cs="Arial"/>
          <w:color w:val="000000"/>
          <w:sz w:val="32"/>
          <w:szCs w:val="32"/>
          <w:u w:val="none"/>
          <w:shd w:val="clear" w:color="auto" w:fill="FFFFFF"/>
        </w:rPr>
        <w:t>〕</w:t>
      </w:r>
      <w:r>
        <w:rPr>
          <w:rFonts w:hint="eastAsia" w:ascii="仿宋_GB2312" w:hAnsi="Arial" w:eastAsia="仿宋_GB2312" w:cs="Arial"/>
          <w:color w:val="000000"/>
          <w:sz w:val="32"/>
          <w:szCs w:val="32"/>
          <w:u w:val="none"/>
          <w:shd w:val="clear" w:color="auto" w:fill="FFFFFF"/>
          <w:lang w:val="en-US" w:eastAsia="zh-CN"/>
        </w:rPr>
        <w:t>20</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hAnsi="楷体_GB2312" w:eastAsia="仿宋_GB2312" w:cs="楷体_GB2312"/>
          <w:color w:val="000000"/>
          <w:sz w:val="32"/>
          <w:szCs w:val="32"/>
          <w:u w:val="none"/>
          <w:lang w:eastAsia="zh-CN"/>
        </w:rPr>
        <w:t>，未提出听证要求。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zh-CN" w:eastAsia="zh-CN"/>
        </w:rPr>
      </w:pPr>
      <w:r>
        <w:rPr>
          <w:rFonts w:hint="eastAsia" w:ascii="仿宋_GB2312" w:hAnsi="楷体_GB2312" w:eastAsia="仿宋_GB2312" w:cs="楷体_GB2312"/>
          <w:color w:val="000000"/>
          <w:sz w:val="32"/>
          <w:szCs w:val="32"/>
          <w:u w:val="none"/>
          <w:lang w:val="zh-CN" w:eastAsia="zh-CN"/>
        </w:rPr>
        <w:t>本局认为，</w:t>
      </w:r>
      <w:r>
        <w:rPr>
          <w:rFonts w:hint="eastAsia" w:ascii="仿宋_GB2312" w:hAnsi="仿宋_GB2312" w:eastAsia="仿宋_GB2312" w:cs="仿宋_GB2312"/>
          <w:kern w:val="2"/>
          <w:sz w:val="32"/>
          <w:szCs w:val="32"/>
          <w:lang w:val="en-US" w:eastAsia="zh-CN" w:bidi="ar-SA"/>
        </w:rPr>
        <w:t>当</w:t>
      </w:r>
      <w:r>
        <w:rPr>
          <w:rFonts w:hint="eastAsia" w:ascii="仿宋_GB2312" w:hAnsi="仿宋_GB2312" w:eastAsia="仿宋_GB2312" w:cs="仿宋_GB2312"/>
          <w:bCs/>
          <w:sz w:val="32"/>
          <w:szCs w:val="32"/>
        </w:rPr>
        <w:t>事人</w:t>
      </w:r>
      <w:r>
        <w:rPr>
          <w:rFonts w:hint="eastAsia" w:ascii="仿宋_GB2312" w:hAnsi="仿宋_GB2312" w:eastAsia="仿宋_GB2312" w:cs="仿宋_GB2312"/>
          <w:sz w:val="32"/>
          <w:szCs w:val="32"/>
          <w:u w:val="none"/>
          <w:lang w:val="en-US" w:eastAsia="zh-CN"/>
        </w:rPr>
        <w:t>上述</w:t>
      </w:r>
      <w:r>
        <w:rPr>
          <w:rFonts w:hint="eastAsia" w:ascii="仿宋_GB2312" w:eastAsia="仿宋_GB2312"/>
          <w:bCs/>
          <w:sz w:val="32"/>
          <w:szCs w:val="32"/>
        </w:rPr>
        <w:t>行为</w:t>
      </w:r>
      <w:r>
        <w:rPr>
          <w:rFonts w:hint="eastAsia" w:ascii="仿宋_GB2312" w:hAnsi="仿宋_GB2312" w:eastAsia="仿宋_GB2312" w:cs="仿宋_GB2312"/>
          <w:bCs/>
          <w:sz w:val="32"/>
          <w:szCs w:val="32"/>
        </w:rPr>
        <w:t>违反了《</w:t>
      </w:r>
      <w:r>
        <w:rPr>
          <w:rFonts w:hint="eastAsia" w:ascii="仿宋_GB2312" w:hAnsi="仿宋" w:eastAsia="仿宋_GB2312"/>
          <w:sz w:val="32"/>
          <w:szCs w:val="32"/>
          <w:u w:val="none"/>
          <w:lang w:val="zh-CN" w:eastAsia="zh-CN"/>
        </w:rPr>
        <w:t>网络食品安全违法行为查处办法》第十六条第一款</w:t>
      </w:r>
      <w:r>
        <w:rPr>
          <w:rFonts w:hint="eastAsia" w:ascii="仿宋_GB2312" w:hAnsi="仿宋" w:eastAsia="仿宋_GB2312"/>
          <w:sz w:val="32"/>
          <w:szCs w:val="32"/>
          <w:u w:val="none"/>
          <w:lang w:val="zh-CN"/>
        </w:rPr>
        <w:t>“入网食品生产经营者应当依法取得许可，入网食品生产者应当按照许可的类别范围销售食品，入网食品经营者应当按照许可的经营项目范围从事食品经营。法律、法规规定不需要取得食品生产经营许可的除外</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”的规定</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kern w:val="2"/>
          <w:sz w:val="32"/>
          <w:szCs w:val="32"/>
          <w:u w:val="none"/>
          <w:lang w:val="zh-CN" w:eastAsia="zh-CN" w:bidi="ar-SA"/>
        </w:rPr>
        <w:t>依</w:t>
      </w:r>
      <w:r>
        <w:rPr>
          <w:rFonts w:hint="eastAsia" w:ascii="仿宋_GB2312" w:hAnsi="仿宋" w:eastAsia="仿宋_GB2312"/>
          <w:sz w:val="32"/>
          <w:szCs w:val="32"/>
          <w:u w:val="none"/>
          <w:lang w:val="zh-CN" w:eastAsia="zh-CN"/>
        </w:rPr>
        <w:t>据《网络食品安全违法行为查处办法》第三十八条</w:t>
      </w:r>
      <w:r>
        <w:rPr>
          <w:rFonts w:hint="eastAsia" w:ascii="仿宋_GB2312" w:hAnsi="仿宋" w:eastAsia="仿宋_GB2312"/>
          <w:sz w:val="32"/>
          <w:szCs w:val="32"/>
          <w:u w:val="none"/>
          <w:lang w:val="zh-CN"/>
        </w:rPr>
        <w:t>“违反本办法第十六条规定，入网食品生产经营未依法取得食品经营许可的，或者入网食品生产者超过许可的类别范围销售食品、入网食品经营者超过许可的经营项目范围从食品经营的，依照食品安全法第一百二十二条的规定处罚。”和</w:t>
      </w:r>
      <w:r>
        <w:rPr>
          <w:rFonts w:hint="eastAsia" w:ascii="仿宋_GB2312" w:hAnsi="仿宋_GB2312" w:eastAsia="仿宋_GB2312" w:cs="仿宋_GB2312"/>
          <w:bCs/>
          <w:kern w:val="2"/>
          <w:sz w:val="32"/>
          <w:szCs w:val="32"/>
          <w:u w:val="none"/>
          <w:lang w:val="zh-CN" w:eastAsia="zh-CN" w:bidi="ar-SA"/>
        </w:rPr>
        <w:t>《中华人民共和国食品安全法》</w:t>
      </w:r>
      <w:r>
        <w:rPr>
          <w:rFonts w:hint="eastAsia" w:ascii="仿宋_GB2312" w:hAnsi="仿宋_GB2312" w:eastAsia="仿宋_GB2312" w:cs="仿宋_GB2312"/>
          <w:bCs/>
          <w:sz w:val="32"/>
          <w:szCs w:val="32"/>
          <w:lang w:eastAsia="zh-CN"/>
        </w:rPr>
        <w:t>第一百二十二</w:t>
      </w:r>
      <w:r>
        <w:rPr>
          <w:rFonts w:hint="eastAsia" w:ascii="仿宋_GB2312" w:hAnsi="仿宋_GB2312" w:eastAsia="仿宋_GB2312" w:cs="仿宋_GB2312"/>
          <w:bCs/>
          <w:kern w:val="2"/>
          <w:sz w:val="32"/>
          <w:szCs w:val="32"/>
          <w:u w:val="none"/>
          <w:lang w:val="zh-CN" w:eastAsia="zh-CN" w:bidi="ar-SA"/>
        </w:rPr>
        <w:t>条“</w:t>
      </w:r>
      <w:r>
        <w:rPr>
          <w:rFonts w:hint="eastAsia" w:ascii="Times New Roman" w:hAnsi="Times New Roman" w:eastAsia="仿宋_GB2312" w:cs="仿宋_GB2312"/>
          <w:b w:val="0"/>
          <w:bCs/>
          <w:sz w:val="32"/>
          <w:szCs w:val="32"/>
          <w:u w:val="none"/>
          <w:lang w:eastAsia="zh-CN"/>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bCs/>
          <w:kern w:val="2"/>
          <w:sz w:val="32"/>
          <w:szCs w:val="32"/>
          <w:lang w:val="zh-CN" w:eastAsia="zh-CN" w:bidi="ar-SA"/>
        </w:rPr>
        <w:t>”的规定，应当给予当事人</w:t>
      </w:r>
      <w:r>
        <w:rPr>
          <w:rFonts w:hint="eastAsia" w:ascii="仿宋_GB2312" w:hAnsi="仿宋_GB2312" w:eastAsia="仿宋_GB2312" w:cs="仿宋_GB2312"/>
          <w:bCs/>
          <w:kern w:val="2"/>
          <w:sz w:val="32"/>
          <w:szCs w:val="32"/>
          <w:lang w:val="en-US" w:eastAsia="zh-CN" w:bidi="ar-SA"/>
        </w:rPr>
        <w:t>没收违法所得199元，</w:t>
      </w:r>
      <w:r>
        <w:rPr>
          <w:rFonts w:hint="eastAsia" w:ascii="仿宋_GB2312" w:hAnsi="仿宋_GB2312" w:eastAsia="仿宋_GB2312" w:cs="仿宋_GB2312"/>
          <w:bCs/>
          <w:kern w:val="2"/>
          <w:sz w:val="32"/>
          <w:szCs w:val="32"/>
          <w:lang w:val="zh-CN" w:eastAsia="zh-CN" w:bidi="ar-SA"/>
        </w:rPr>
        <w:t>罚款</w:t>
      </w:r>
      <w:r>
        <w:rPr>
          <w:rFonts w:hint="eastAsia" w:ascii="Times New Roman" w:hAnsi="Times New Roman" w:eastAsia="仿宋_GB2312" w:cs="仿宋_GB2312"/>
          <w:b w:val="0"/>
          <w:bCs/>
          <w:sz w:val="32"/>
          <w:szCs w:val="32"/>
          <w:u w:val="none"/>
          <w:lang w:eastAsia="zh-CN"/>
        </w:rPr>
        <w:t>五万元以</w:t>
      </w:r>
      <w:r>
        <w:rPr>
          <w:rFonts w:hint="eastAsia" w:ascii="仿宋_GB2312" w:hAnsi="仿宋_GB2312" w:eastAsia="仿宋_GB2312" w:cs="仿宋_GB2312"/>
          <w:bCs/>
          <w:kern w:val="2"/>
          <w:sz w:val="32"/>
          <w:szCs w:val="32"/>
          <w:lang w:val="zh-CN" w:eastAsia="zh-CN" w:bidi="ar-SA"/>
        </w:rPr>
        <w:t>上十万元罚款的行政处罚。</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lang w:val="en-US" w:eastAsia="zh-CN"/>
        </w:rPr>
        <w:t xml:space="preserve">    </w:t>
      </w:r>
      <w:r>
        <w:rPr>
          <w:rFonts w:hint="eastAsia" w:ascii="仿宋_GB2312" w:hAnsi="仿宋_GB2312" w:eastAsia="仿宋_GB2312" w:cs="仿宋_GB2312"/>
          <w:bCs/>
          <w:kern w:val="2"/>
          <w:sz w:val="32"/>
          <w:szCs w:val="32"/>
          <w:lang w:val="zh-CN" w:eastAsia="zh-CN" w:bidi="ar-SA"/>
        </w:rPr>
        <w:t>鉴于当事人配合案件调查，主动下架</w:t>
      </w:r>
      <w:r>
        <w:rPr>
          <w:rFonts w:hint="eastAsia" w:ascii="仿宋_GB2312" w:hAnsi="仿宋_GB2312" w:eastAsia="仿宋_GB2312" w:cs="仿宋_GB2312"/>
          <w:bCs/>
          <w:kern w:val="2"/>
          <w:sz w:val="32"/>
          <w:szCs w:val="32"/>
          <w:lang w:val="en-US" w:eastAsia="zh-CN" w:bidi="ar-SA"/>
        </w:rPr>
        <w:t>超过许可经营项目范围的食品</w:t>
      </w:r>
      <w:r>
        <w:rPr>
          <w:rFonts w:hint="eastAsia" w:ascii="仿宋_GB2312" w:hAnsi="仿宋_GB2312" w:eastAsia="仿宋_GB2312" w:cs="仿宋_GB2312"/>
          <w:bCs/>
          <w:kern w:val="2"/>
          <w:sz w:val="32"/>
          <w:szCs w:val="32"/>
          <w:lang w:val="zh-CN" w:eastAsia="zh-CN" w:bidi="ar-SA"/>
        </w:rPr>
        <w:t>，积</w:t>
      </w:r>
      <w:r>
        <w:rPr>
          <w:rFonts w:hint="eastAsia" w:ascii="Times New Roman" w:hAnsi="Times New Roman" w:eastAsia="仿宋_GB2312" w:cs="仿宋_GB2312"/>
          <w:b w:val="0"/>
          <w:bCs/>
          <w:sz w:val="32"/>
          <w:szCs w:val="32"/>
          <w:u w:val="none"/>
          <w:lang w:eastAsia="zh-CN"/>
        </w:rPr>
        <w:t>极改正违法行为，符合《天津市市场和质量监督管理委员会行政处罚裁量适用规则》第十三条第五项规定的减轻处罚的情形。</w:t>
      </w:r>
    </w:p>
    <w:p>
      <w:pPr>
        <w:pStyle w:val="2"/>
        <w:tabs>
          <w:tab w:val="left" w:pos="9060"/>
        </w:tabs>
        <w:spacing w:line="520" w:lineRule="exact"/>
        <w:ind w:firstLine="640" w:firstLineChars="200"/>
        <w:rPr>
          <w:rFonts w:hint="eastAsia"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u w:val="none"/>
        </w:rPr>
        <w:t>综上，当事人上述行为违反了</w:t>
      </w:r>
      <w:r>
        <w:rPr>
          <w:rFonts w:hint="eastAsia" w:ascii="仿宋_GB2312" w:hAnsi="仿宋_GB2312" w:eastAsia="仿宋_GB2312" w:cs="仿宋_GB2312"/>
          <w:bCs/>
          <w:sz w:val="32"/>
          <w:szCs w:val="32"/>
        </w:rPr>
        <w:t>《</w:t>
      </w:r>
      <w:r>
        <w:rPr>
          <w:rFonts w:hint="eastAsia" w:ascii="仿宋_GB2312" w:hAnsi="仿宋" w:eastAsia="仿宋_GB2312"/>
          <w:sz w:val="32"/>
          <w:szCs w:val="32"/>
          <w:u w:val="none"/>
          <w:lang w:val="zh-CN" w:eastAsia="zh-CN"/>
        </w:rPr>
        <w:t>网络食品安全违法行为查处办法》第十六条第一款的规定</w:t>
      </w:r>
      <w:r>
        <w:rPr>
          <w:rFonts w:hint="eastAsia" w:ascii="Times New Roman" w:eastAsia="仿宋_GB2312" w:cs="仿宋_GB2312"/>
          <w:color w:val="000000"/>
          <w:u w:val="none"/>
          <w:lang w:val="en-US" w:eastAsia="zh-CN"/>
        </w:rPr>
        <w:t>，</w:t>
      </w:r>
      <w:r>
        <w:rPr>
          <w:rFonts w:hint="eastAsia" w:ascii="Times New Roman" w:hAnsi="Times New Roman" w:eastAsia="仿宋_GB2312" w:cs="Mongolian Baiti"/>
          <w:kern w:val="1"/>
          <w:sz w:val="32"/>
          <w:szCs w:val="32"/>
          <w:u w:val="none"/>
        </w:rPr>
        <w:t>依据</w:t>
      </w:r>
      <w:r>
        <w:rPr>
          <w:rFonts w:hint="eastAsia" w:ascii="Times New Roman" w:hAnsi="Times New Roman" w:eastAsia="仿宋_GB2312" w:cs="仿宋_GB2312"/>
          <w:b w:val="0"/>
          <w:bCs/>
          <w:kern w:val="2"/>
          <w:sz w:val="32"/>
          <w:szCs w:val="32"/>
          <w:u w:val="none"/>
          <w:lang w:val="zh-CN" w:eastAsia="zh-CN" w:bidi="ar-SA"/>
        </w:rPr>
        <w:t>《网络食</w:t>
      </w:r>
      <w:r>
        <w:rPr>
          <w:rFonts w:hint="eastAsia" w:ascii="仿宋_GB2312" w:hAnsi="仿宋" w:eastAsia="仿宋_GB2312"/>
          <w:sz w:val="32"/>
          <w:szCs w:val="32"/>
          <w:u w:val="none"/>
          <w:lang w:val="zh-CN" w:eastAsia="zh-CN"/>
        </w:rPr>
        <w:t>品安全违法行为查处办法》第三十八条</w:t>
      </w:r>
      <w:r>
        <w:rPr>
          <w:rFonts w:hint="eastAsia" w:ascii="仿宋_GB2312" w:hAnsi="仿宋" w:eastAsia="仿宋_GB2312"/>
          <w:sz w:val="32"/>
          <w:szCs w:val="32"/>
          <w:u w:val="none"/>
          <w:lang w:val="zh-CN"/>
        </w:rPr>
        <w:t>和</w:t>
      </w:r>
      <w:r>
        <w:rPr>
          <w:rFonts w:hint="eastAsia" w:ascii="仿宋_GB2312" w:hAnsi="仿宋_GB2312" w:eastAsia="仿宋_GB2312" w:cs="仿宋_GB2312"/>
          <w:bCs/>
          <w:kern w:val="2"/>
          <w:sz w:val="32"/>
          <w:szCs w:val="32"/>
          <w:u w:val="none"/>
          <w:lang w:val="zh-CN" w:eastAsia="zh-CN" w:bidi="ar-SA"/>
        </w:rPr>
        <w:t>《中华人民共和国食品安全法》</w:t>
      </w:r>
      <w:r>
        <w:rPr>
          <w:rFonts w:hint="eastAsia" w:ascii="仿宋_GB2312" w:hAnsi="仿宋_GB2312" w:eastAsia="仿宋_GB2312" w:cs="仿宋_GB2312"/>
          <w:bCs/>
          <w:sz w:val="32"/>
          <w:szCs w:val="32"/>
          <w:lang w:eastAsia="zh-CN"/>
        </w:rPr>
        <w:t>第一百二十二</w:t>
      </w:r>
      <w:r>
        <w:rPr>
          <w:rFonts w:hint="eastAsia" w:ascii="仿宋_GB2312" w:hAnsi="仿宋_GB2312" w:eastAsia="仿宋_GB2312" w:cs="仿宋_GB2312"/>
          <w:bCs/>
          <w:kern w:val="2"/>
          <w:sz w:val="32"/>
          <w:szCs w:val="32"/>
          <w:u w:val="none"/>
          <w:lang w:val="zh-CN" w:eastAsia="zh-CN" w:bidi="ar-SA"/>
        </w:rPr>
        <w:t>条</w:t>
      </w:r>
      <w:r>
        <w:rPr>
          <w:rFonts w:hint="eastAsia" w:ascii="仿宋_GB2312" w:hAnsi="仿宋_GB2312" w:eastAsia="仿宋_GB2312" w:cs="仿宋_GB2312"/>
          <w:bCs/>
          <w:kern w:val="2"/>
          <w:sz w:val="32"/>
          <w:szCs w:val="32"/>
          <w:lang w:val="zh-CN" w:eastAsia="zh-CN" w:bidi="ar-SA"/>
        </w:rPr>
        <w:t>的规定，</w:t>
      </w:r>
      <w:r>
        <w:rPr>
          <w:rFonts w:hint="eastAsia" w:ascii="Times New Roman" w:hAnsi="Times New Roman" w:eastAsia="仿宋_GB2312" w:cs="Mongolian Baiti"/>
          <w:kern w:val="1"/>
          <w:sz w:val="32"/>
          <w:szCs w:val="32"/>
        </w:rPr>
        <w:t>决定</w:t>
      </w:r>
      <w:r>
        <w:rPr>
          <w:rFonts w:hint="eastAsia" w:ascii="仿宋_GB2312" w:hAnsi="仿宋_GB2312" w:eastAsia="仿宋_GB2312" w:cs="仿宋_GB2312"/>
          <w:bCs/>
          <w:kern w:val="2"/>
          <w:sz w:val="32"/>
          <w:szCs w:val="32"/>
          <w:lang w:val="zh-CN" w:eastAsia="zh-CN" w:bidi="ar-SA"/>
        </w:rPr>
        <w:t>对当事人</w:t>
      </w:r>
      <w:r>
        <w:rPr>
          <w:rFonts w:hint="eastAsia" w:ascii="Times New Roman" w:hAnsi="Times New Roman" w:eastAsia="仿宋_GB2312" w:cs="Mongolian Baiti"/>
          <w:kern w:val="1"/>
          <w:sz w:val="32"/>
          <w:szCs w:val="32"/>
        </w:rPr>
        <w:t>处罚如下：</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1.</w:t>
      </w:r>
      <w:r>
        <w:rPr>
          <w:rFonts w:hint="eastAsia" w:ascii="仿宋_GB2312" w:hAnsi="仿宋_GB2312" w:eastAsia="仿宋_GB2312" w:cs="仿宋_GB2312"/>
          <w:bCs/>
          <w:kern w:val="2"/>
          <w:sz w:val="32"/>
          <w:szCs w:val="32"/>
          <w:lang w:val="en-US" w:eastAsia="zh-CN" w:bidi="ar-SA"/>
        </w:rPr>
        <w:t>没收违法所得199元</w:t>
      </w:r>
      <w:r>
        <w:rPr>
          <w:rFonts w:hint="eastAsia" w:ascii="仿宋_GB2312" w:hAnsi="仿宋_GB2312" w:eastAsia="仿宋_GB2312" w:cs="仿宋_GB2312"/>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val="en-US" w:eastAsia="zh-CN"/>
        </w:rPr>
        <w:t>2.罚款10000元</w:t>
      </w:r>
      <w:r>
        <w:rPr>
          <w:rFonts w:hint="eastAsia" w:ascii="仿宋_GB2312" w:hAnsi="仿宋_GB2312" w:eastAsia="仿宋_GB2312" w:cs="仿宋_GB2312"/>
          <w:b w:val="0"/>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Times New Roman" w:hAnsi="Times New Roman" w:eastAsia="仿宋_GB2312"/>
          <w:color w:val="000000"/>
          <w:sz w:val="32"/>
          <w:szCs w:val="32"/>
          <w:lang w:eastAsia="zh-CN"/>
        </w:rPr>
      </w:pPr>
      <w:r>
        <w:rPr>
          <w:rFonts w:hint="eastAsia" w:ascii="仿宋_GB2312" w:hAnsi="Times New Roman" w:eastAsia="仿宋_GB2312" w:cs="仿宋"/>
          <w:color w:val="000000"/>
          <w:sz w:val="32"/>
          <w:szCs w:val="32"/>
          <w:u w:val="none"/>
        </w:rPr>
        <w:t>当事人应于收到本</w:t>
      </w:r>
      <w:r>
        <w:rPr>
          <w:rFonts w:hint="eastAsia" w:ascii="仿宋_GB2312" w:hAnsi="仿宋_GB2312" w:eastAsia="仿宋_GB2312" w:cs="仿宋_GB2312"/>
          <w:color w:val="000000"/>
          <w:sz w:val="32"/>
          <w:szCs w:val="32"/>
        </w:rPr>
        <w:t>行政处罚决定书</w:t>
      </w:r>
      <w:r>
        <w:rPr>
          <w:rFonts w:hint="eastAsia" w:ascii="仿宋_GB2312" w:hAnsi="Times New Roman" w:eastAsia="仿宋_GB2312" w:cs="仿宋"/>
          <w:color w:val="000000"/>
          <w:sz w:val="32"/>
          <w:szCs w:val="32"/>
          <w:u w:val="none"/>
        </w:rPr>
        <w:t>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w:t>
      </w:r>
      <w:r>
        <w:rPr>
          <w:rFonts w:hint="eastAsia" w:ascii="仿宋_GB2312" w:hAnsi="仿宋_GB2312" w:eastAsia="仿宋_GB2312" w:cs="仿宋_GB2312"/>
          <w:color w:val="000000"/>
          <w:sz w:val="32"/>
          <w:szCs w:val="32"/>
        </w:rPr>
        <w:t>依据《中华人民共和国行政处罚法》第七十二条的规定</w:t>
      </w:r>
      <w:r>
        <w:rPr>
          <w:rFonts w:hint="eastAsia" w:ascii="仿宋_GB2312" w:hAnsi="Times New Roman" w:eastAsia="仿宋_GB2312" w:cs="仿宋"/>
          <w:color w:val="000000"/>
          <w:sz w:val="32"/>
          <w:szCs w:val="32"/>
          <w:u w:val="none"/>
        </w:rPr>
        <w:t>，</w:t>
      </w:r>
      <w:r>
        <w:rPr>
          <w:rFonts w:hint="eastAsia" w:ascii="仿宋_GB2312" w:hAnsi="仿宋_GB2312" w:eastAsia="仿宋_GB2312" w:cs="仿宋_GB2312"/>
          <w:color w:val="000000"/>
          <w:sz w:val="32"/>
          <w:szCs w:val="32"/>
        </w:rPr>
        <w:t>本局将每日按罚款数额的百分之三加处罚款，并依法申</w:t>
      </w:r>
      <w:r>
        <w:rPr>
          <w:rFonts w:ascii="Times New Roman" w:hAnsi="Times New Roman" w:eastAsia="仿宋_GB2312"/>
          <w:color w:val="000000"/>
          <w:sz w:val="32"/>
          <w:szCs w:val="32"/>
        </w:rPr>
        <w:t>请人民法院强制执行</w:t>
      </w:r>
      <w:r>
        <w:rPr>
          <w:rFonts w:hint="eastAsia" w:ascii="仿宋_GB2312" w:hAnsi="Times New Roman" w:eastAsia="仿宋_GB2312" w:cs="仿宋"/>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申请行政复议或者提起行政诉讼期间，行政处罚不停止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Times New Roman" w:eastAsia="仿宋_GB2312" w:cs="仿宋"/>
          <w:color w:val="000000"/>
          <w:sz w:val="32"/>
          <w:szCs w:val="32"/>
          <w:u w:val="none"/>
        </w:rPr>
      </w:pPr>
    </w:p>
    <w:p>
      <w:pPr>
        <w:spacing w:line="500" w:lineRule="exact"/>
        <w:ind w:firstLine="601"/>
        <w:jc w:val="center"/>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rPr>
      </w:pPr>
      <w:r>
        <w:rPr>
          <w:rFonts w:hint="eastAsia" w:ascii="仿宋_GB2312" w:hAnsi="Times New Roman" w:eastAsia="仿宋_GB2312" w:cs="仿宋"/>
          <w:color w:val="000000"/>
          <w:sz w:val="32"/>
          <w:szCs w:val="32"/>
        </w:rPr>
        <w:t xml:space="preserve">              20</w:t>
      </w:r>
      <w:r>
        <w:rPr>
          <w:rFonts w:hint="eastAsia" w:ascii="仿宋_GB2312" w:hAnsi="Times New Roman" w:eastAsia="仿宋_GB2312" w:cs="仿宋"/>
          <w:color w:val="000000"/>
          <w:sz w:val="32"/>
          <w:szCs w:val="32"/>
          <w:lang w:val="en-US" w:eastAsia="zh-CN"/>
        </w:rPr>
        <w:t>22</w:t>
      </w:r>
      <w:r>
        <w:rPr>
          <w:rFonts w:hint="eastAsia" w:ascii="仿宋_GB2312" w:hAnsi="Times New Roman" w:eastAsia="仿宋_GB2312" w:cs="仿宋"/>
          <w:color w:val="000000"/>
          <w:sz w:val="32"/>
          <w:szCs w:val="32"/>
        </w:rPr>
        <w:t xml:space="preserve">年 </w:t>
      </w:r>
      <w:r>
        <w:rPr>
          <w:rFonts w:hint="eastAsia" w:ascii="仿宋_GB2312" w:hAnsi="Times New Roman" w:eastAsia="仿宋_GB2312" w:cs="仿宋"/>
          <w:color w:val="000000"/>
          <w:sz w:val="32"/>
          <w:szCs w:val="32"/>
          <w:lang w:val="en-US" w:eastAsia="zh-CN"/>
        </w:rPr>
        <w:t>4</w:t>
      </w:r>
      <w:r>
        <w:rPr>
          <w:rFonts w:hint="eastAsia" w:ascii="仿宋_GB2312" w:hAnsi="Times New Roman" w:eastAsia="仿宋_GB2312" w:cs="仿宋"/>
          <w:color w:val="000000"/>
          <w:sz w:val="32"/>
          <w:szCs w:val="32"/>
        </w:rPr>
        <w:t xml:space="preserve"> 月 </w:t>
      </w:r>
      <w:r>
        <w:rPr>
          <w:rFonts w:hint="eastAsia" w:ascii="仿宋_GB2312" w:hAnsi="Times New Roman" w:eastAsia="仿宋_GB2312" w:cs="仿宋"/>
          <w:color w:val="000000"/>
          <w:sz w:val="32"/>
          <w:szCs w:val="32"/>
          <w:lang w:val="en-US" w:eastAsia="zh-CN"/>
        </w:rPr>
        <w:t>19</w:t>
      </w:r>
      <w:r>
        <w:rPr>
          <w:rFonts w:hint="eastAsia" w:ascii="仿宋_GB2312" w:hAnsi="Times New Roman" w:eastAsia="仿宋_GB2312" w:cs="仿宋"/>
          <w:color w:val="000000"/>
          <w:sz w:val="32"/>
          <w:szCs w:val="32"/>
        </w:rPr>
        <w:t xml:space="preserve"> 日</w:t>
      </w: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wordWrap w:val="0"/>
        <w:snapToGrid w:val="0"/>
        <w:spacing w:line="520" w:lineRule="exact"/>
        <w:rPr>
          <w:rFonts w:hint="eastAsia" w:ascii="黑体" w:hAnsi="黑体" w:eastAsia="黑体" w:cs="黑体"/>
          <w:color w:val="000000"/>
          <w:sz w:val="30"/>
          <w:szCs w:val="30"/>
        </w:rPr>
      </w:pPr>
    </w:p>
    <w:p>
      <w:pPr>
        <w:pStyle w:val="3"/>
        <w:spacing w:line="360" w:lineRule="exact"/>
        <w:jc w:val="both"/>
      </w:pPr>
    </w:p>
    <w:sectPr>
      <w:pgSz w:w="11906" w:h="16838"/>
      <w:pgMar w:top="1400" w:right="1531" w:bottom="1400"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4ADB"/>
    <w:rsid w:val="0010340B"/>
    <w:rsid w:val="00201933"/>
    <w:rsid w:val="00234CB1"/>
    <w:rsid w:val="00256557"/>
    <w:rsid w:val="00387C93"/>
    <w:rsid w:val="005F654E"/>
    <w:rsid w:val="0065315A"/>
    <w:rsid w:val="006664D6"/>
    <w:rsid w:val="007E51A2"/>
    <w:rsid w:val="00AB6DE5"/>
    <w:rsid w:val="00CE3D2D"/>
    <w:rsid w:val="00DC0351"/>
    <w:rsid w:val="00ED10EF"/>
    <w:rsid w:val="00F2413C"/>
    <w:rsid w:val="01722E71"/>
    <w:rsid w:val="01DC1D66"/>
    <w:rsid w:val="036076AB"/>
    <w:rsid w:val="05732217"/>
    <w:rsid w:val="0770315B"/>
    <w:rsid w:val="07721006"/>
    <w:rsid w:val="07F33D0C"/>
    <w:rsid w:val="09A83FE9"/>
    <w:rsid w:val="0C3B24AA"/>
    <w:rsid w:val="0D596BFF"/>
    <w:rsid w:val="0D9244FF"/>
    <w:rsid w:val="0DDF5B62"/>
    <w:rsid w:val="0EB76924"/>
    <w:rsid w:val="0ED47628"/>
    <w:rsid w:val="12687335"/>
    <w:rsid w:val="131F7C28"/>
    <w:rsid w:val="133C788A"/>
    <w:rsid w:val="14545B2B"/>
    <w:rsid w:val="150048D2"/>
    <w:rsid w:val="154151BB"/>
    <w:rsid w:val="155337D4"/>
    <w:rsid w:val="169924CD"/>
    <w:rsid w:val="16E5372D"/>
    <w:rsid w:val="1A1E7544"/>
    <w:rsid w:val="1AEE654E"/>
    <w:rsid w:val="1E5B3086"/>
    <w:rsid w:val="1EED46E1"/>
    <w:rsid w:val="203224C3"/>
    <w:rsid w:val="20FC34BC"/>
    <w:rsid w:val="24AE09F1"/>
    <w:rsid w:val="24C57450"/>
    <w:rsid w:val="258F0874"/>
    <w:rsid w:val="25D90AD1"/>
    <w:rsid w:val="266D7008"/>
    <w:rsid w:val="271126F8"/>
    <w:rsid w:val="29662395"/>
    <w:rsid w:val="2ACF67B6"/>
    <w:rsid w:val="2AD31727"/>
    <w:rsid w:val="2BC05B29"/>
    <w:rsid w:val="2BFD4416"/>
    <w:rsid w:val="2CFCBA79"/>
    <w:rsid w:val="2D6F72FB"/>
    <w:rsid w:val="2D950F10"/>
    <w:rsid w:val="2E2810FD"/>
    <w:rsid w:val="2EF6427E"/>
    <w:rsid w:val="2FFF4E83"/>
    <w:rsid w:val="33FA68B7"/>
    <w:rsid w:val="34631137"/>
    <w:rsid w:val="34D95BBD"/>
    <w:rsid w:val="34FB0F33"/>
    <w:rsid w:val="35BE7870"/>
    <w:rsid w:val="35FF6FA8"/>
    <w:rsid w:val="37F7FD9F"/>
    <w:rsid w:val="394E2F71"/>
    <w:rsid w:val="3A173866"/>
    <w:rsid w:val="3A4B5B5B"/>
    <w:rsid w:val="3AEF50AB"/>
    <w:rsid w:val="3C0A096A"/>
    <w:rsid w:val="3C800ED2"/>
    <w:rsid w:val="3C921C64"/>
    <w:rsid w:val="3C9754A4"/>
    <w:rsid w:val="3D6B1589"/>
    <w:rsid w:val="3DB918C5"/>
    <w:rsid w:val="3E014E0A"/>
    <w:rsid w:val="3E4A38D1"/>
    <w:rsid w:val="3F023967"/>
    <w:rsid w:val="407B6156"/>
    <w:rsid w:val="4097171E"/>
    <w:rsid w:val="420253B9"/>
    <w:rsid w:val="42700054"/>
    <w:rsid w:val="42CB479B"/>
    <w:rsid w:val="43FF115D"/>
    <w:rsid w:val="46292BFC"/>
    <w:rsid w:val="4986323B"/>
    <w:rsid w:val="4DDF21B8"/>
    <w:rsid w:val="4E34750F"/>
    <w:rsid w:val="4F44765F"/>
    <w:rsid w:val="4FF578AD"/>
    <w:rsid w:val="4FFF4E30"/>
    <w:rsid w:val="50AA794A"/>
    <w:rsid w:val="51957B94"/>
    <w:rsid w:val="52113A43"/>
    <w:rsid w:val="52745D2B"/>
    <w:rsid w:val="533478F3"/>
    <w:rsid w:val="54AE5C82"/>
    <w:rsid w:val="558364A4"/>
    <w:rsid w:val="56BF0847"/>
    <w:rsid w:val="579541C1"/>
    <w:rsid w:val="587E013F"/>
    <w:rsid w:val="58CA4810"/>
    <w:rsid w:val="58DF7B99"/>
    <w:rsid w:val="59F7A80B"/>
    <w:rsid w:val="5AE0478D"/>
    <w:rsid w:val="5B1A4C48"/>
    <w:rsid w:val="5C925BF0"/>
    <w:rsid w:val="5FDD93BF"/>
    <w:rsid w:val="610E5C25"/>
    <w:rsid w:val="614B0E9B"/>
    <w:rsid w:val="61CB234E"/>
    <w:rsid w:val="65967DCF"/>
    <w:rsid w:val="66DB71C2"/>
    <w:rsid w:val="66E33B53"/>
    <w:rsid w:val="68556C69"/>
    <w:rsid w:val="68982E8F"/>
    <w:rsid w:val="6A246863"/>
    <w:rsid w:val="6AE467C5"/>
    <w:rsid w:val="6D2A0557"/>
    <w:rsid w:val="6EF75690"/>
    <w:rsid w:val="6FA42A9F"/>
    <w:rsid w:val="6FBE7379"/>
    <w:rsid w:val="704233AA"/>
    <w:rsid w:val="70B32B60"/>
    <w:rsid w:val="70C95983"/>
    <w:rsid w:val="727E4059"/>
    <w:rsid w:val="7297481A"/>
    <w:rsid w:val="739C5A73"/>
    <w:rsid w:val="73CDFF92"/>
    <w:rsid w:val="748E78C8"/>
    <w:rsid w:val="74FC823F"/>
    <w:rsid w:val="757BF36A"/>
    <w:rsid w:val="75BF0278"/>
    <w:rsid w:val="75F92E9B"/>
    <w:rsid w:val="76216432"/>
    <w:rsid w:val="762B28F5"/>
    <w:rsid w:val="762E16AC"/>
    <w:rsid w:val="7682576B"/>
    <w:rsid w:val="76AE2D90"/>
    <w:rsid w:val="76FD7266"/>
    <w:rsid w:val="77091633"/>
    <w:rsid w:val="77186DBD"/>
    <w:rsid w:val="7A5B6A10"/>
    <w:rsid w:val="7AA3769A"/>
    <w:rsid w:val="7BBCB68C"/>
    <w:rsid w:val="7E2B7643"/>
    <w:rsid w:val="821FBBFF"/>
    <w:rsid w:val="876794EE"/>
    <w:rsid w:val="9FBA3227"/>
    <w:rsid w:val="A7FE9B5E"/>
    <w:rsid w:val="AB9DC4B5"/>
    <w:rsid w:val="BEEB3B00"/>
    <w:rsid w:val="BEFCE781"/>
    <w:rsid w:val="D77F244A"/>
    <w:rsid w:val="D7EE1C07"/>
    <w:rsid w:val="DBE2837D"/>
    <w:rsid w:val="DE3F9EE4"/>
    <w:rsid w:val="EFF9FE4C"/>
    <w:rsid w:val="F16AA1DA"/>
    <w:rsid w:val="F73ABA05"/>
    <w:rsid w:val="F76F428F"/>
    <w:rsid w:val="F79738D1"/>
    <w:rsid w:val="F7B57DA9"/>
    <w:rsid w:val="FBEBF212"/>
    <w:rsid w:val="FDB94694"/>
    <w:rsid w:val="FE77499A"/>
    <w:rsid w:val="FF1CB4AA"/>
    <w:rsid w:val="FF71BEBC"/>
    <w:rsid w:val="FFBB3443"/>
    <w:rsid w:val="FFBDF5CE"/>
    <w:rsid w:val="FFDF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Calibri" w:hAnsi="Calibri"/>
      <w:kern w:val="2"/>
      <w:sz w:val="18"/>
      <w:szCs w:val="18"/>
    </w:rPr>
  </w:style>
  <w:style w:type="character" w:customStyle="1" w:styleId="8">
    <w:name w:val="页脚 字符"/>
    <w:basedOn w:val="6"/>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250</Words>
  <Characters>1431</Characters>
  <Lines>11</Lines>
  <Paragraphs>3</Paragraphs>
  <TotalTime>8</TotalTime>
  <ScaleCrop>false</ScaleCrop>
  <LinksUpToDate>false</LinksUpToDate>
  <CharactersWithSpaces>1678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2019-09-04T00:13:00Z</dcterms:created>
  <dc:creator>Administrator</dc:creator>
  <cp:lastModifiedBy>greatwall</cp:lastModifiedBy>
  <cp:lastPrinted>2022-04-21T07:58:00Z</cp:lastPrinted>
  <dcterms:modified xsi:type="dcterms:W3CDTF">2022-04-28T09:10:48Z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