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津辰市监处罚〔2022〕78号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 xml:space="preserve">：天津大光明霞光眼镜有限公司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仿宋_GB2312" w:hAnsi="楷体_GB2312" w:eastAsia="仿宋_GB2312" w:cs="楷体_GB2312"/>
          <w:color w:val="000000"/>
          <w:sz w:val="32"/>
          <w:szCs w:val="32"/>
          <w:u w:val="none"/>
        </w:rPr>
        <w:t>91120113MA06Q9LW4T</w:t>
      </w:r>
      <w:r>
        <w:rPr>
          <w:rFonts w:hint="eastAsia" w:ascii="仿宋_GB2312" w:hAnsi="楷体_GB2312" w:eastAsia="仿宋_GB2312" w:cs="楷体_GB2312"/>
          <w:color w:val="000000"/>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住所（住址）：天津市北辰区果园新村街霞</w:t>
      </w:r>
      <w:r>
        <w:rPr>
          <w:rFonts w:hint="eastAsia" w:ascii="仿宋_GB2312" w:hAnsi="楷体_GB2312" w:eastAsia="仿宋_GB2312" w:cs="楷体_GB2312"/>
          <w:color w:val="000000"/>
          <w:sz w:val="32"/>
          <w:szCs w:val="32"/>
          <w:u w:val="none"/>
        </w:rPr>
        <w:t>光里底商4-20号</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法定代表人（负责人、经营者）：王学杰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2022年3月2日，我局执法人员依法对当事人进行现场检查，检查当事人现场在用的焦度计（产品型号：LM-8、编号：1305082986）、镜片箱（型号为BY-232、编号为1215）和电脑验光仪（型号为SR-7000，出厂编号：Y8J944），当事人现场亦无法提供有效的检定证书。当事人所使用的焦度计、镜片箱和电脑验光仪均在《实施强制管理的计量器具目录》中，属于需强制检定的计量器具。当事人涉嫌使用超过检定周期的强制检定的计量器具，2022年3月7日，执法人员报经分管局长批准，予以立案调查。</w:t>
      </w:r>
    </w:p>
    <w:p>
      <w:pPr>
        <w:spacing w:line="520" w:lineRule="exact"/>
        <w:ind w:firstLine="640" w:firstLineChars="200"/>
        <w:rPr>
          <w:rFonts w:hint="eastAsia"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经查明，当事人使用产品型号为LM-8、编号为1305082986的焦度计，型号为BY-232、编号为1215的镜片箱和型号为SR-7000、出厂编号为Y8J944的电脑验光仪现场用于眼镜配制，焦度计的编号为FCDji19016968的《检定证书》有效期自2019年3月15日至2020年3月14日，镜片箱的编号为CDjp1800011号的《检定证书》有效期自2018年1月30日至2020年1月29日，电脑验光仪的编号为FCDyg19016969的《检定证书》有效期自2019年3月15日至2020年3月14日，上述焦度计、镜片箱和电脑验光仪均已超过检定周期，且均在《实施强制管理的计量器具目录》中，属于需强制检定的计量器具。当事人的行为满足</w:t>
      </w:r>
      <w:bookmarkStart w:id="0" w:name="_GoBack"/>
      <w:r>
        <w:rPr>
          <w:rFonts w:hint="eastAsia" w:ascii="仿宋_GB2312" w:hAnsi="楷体_GB2312" w:eastAsia="仿宋_GB2312" w:cs="楷体_GB2312"/>
          <w:color w:val="000000"/>
          <w:sz w:val="32"/>
          <w:szCs w:val="32"/>
          <w:u w:val="none"/>
        </w:rPr>
        <w:t>使用超过检定周期的强制检定的计量器具</w:t>
      </w:r>
      <w:bookmarkEnd w:id="0"/>
      <w:r>
        <w:rPr>
          <w:rFonts w:hint="eastAsia" w:ascii="仿宋_GB2312" w:hAnsi="楷体_GB2312" w:eastAsia="仿宋_GB2312" w:cs="楷体_GB2312"/>
          <w:color w:val="000000"/>
          <w:sz w:val="32"/>
          <w:szCs w:val="32"/>
          <w:u w:val="none"/>
        </w:rPr>
        <w:t>的构成要件。</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2022年3月4日到天津市计量监督检测科学研究院将上述焦度计、镜片箱和电脑验光仪进行检定，上述焦度计、镜片箱检定结论为合格，电脑验光仪检定结论为不合格，当事人涉嫌使用检定不合格的强制检定计量器具的行为，我局已另案处理。</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上述事实，主要有以下证据证明：1.当事人的营业执照、法定代表人王学杰身份证复印件；2.现场笔录及现场照片打印件；3.对王学杰的询问笔录；4.2022年3月10日现场笔录及现场照片打印件、当事人提供的证书编号为FCDjp22009508、检定日期为2022年3月4日的《检定证书》复印件、证书编号为FCDji22009506、检定日期为2022年3月4日的《检定证书》复印件、证书编号为FCDyg22009507、检定日期为2022年3月4日的《检定结果通知证书》复印件；5.《市场监管总局关于调整实施强制管理的计量器具目录的公告》（国家市场监督管理总局公告（2020年第42号））。</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w:t>
      </w:r>
      <w:r>
        <w:rPr>
          <w:rFonts w:ascii="仿宋_GB2312" w:hAnsi="楷体_GB2312" w:eastAsia="仿宋_GB2312" w:cs="楷体_GB2312"/>
          <w:color w:val="000000"/>
          <w:sz w:val="32"/>
          <w:szCs w:val="32"/>
          <w:u w:val="none"/>
        </w:rPr>
        <w:t>4</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28</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78</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本局认为，当事人的上述行为违反了《眼镜制配计量监督管理办法》第四条第四项：“眼镜制配者应当遵守以下规定: （四）不得使用未经检定、超过检定周期或者经检定不合格的计量器具。”的规定。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眼镜制配计量监督管理办法》第九条第一项：“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的规定，建议责令当事人改正违法行为，给予以下行政处罚：罚款500元。</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10</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pStyle w:val="4"/>
        <w:spacing w:line="360" w:lineRule="exact"/>
        <w:jc w:val="both"/>
        <w:rPr>
          <w:rFonts w:ascii="Times New Roman" w:hAnsi="Times New Roman" w:eastAsia="仿宋_GB2312" w:cs="仿宋"/>
          <w:color w:val="000000"/>
          <w:sz w:val="32"/>
          <w:szCs w:val="32"/>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91806"/>
    <w:rsid w:val="004E13E0"/>
    <w:rsid w:val="00545C83"/>
    <w:rsid w:val="00633C9A"/>
    <w:rsid w:val="007F239A"/>
    <w:rsid w:val="00974BBD"/>
    <w:rsid w:val="0099379E"/>
    <w:rsid w:val="00997CE8"/>
    <w:rsid w:val="009A35EA"/>
    <w:rsid w:val="00A5559F"/>
    <w:rsid w:val="00B02A9D"/>
    <w:rsid w:val="00C26503"/>
    <w:rsid w:val="00C5314B"/>
    <w:rsid w:val="00C90FDC"/>
    <w:rsid w:val="00D170A5"/>
    <w:rsid w:val="00D17173"/>
    <w:rsid w:val="00DF041A"/>
    <w:rsid w:val="00F67181"/>
    <w:rsid w:val="01DC1D66"/>
    <w:rsid w:val="03F7032F"/>
    <w:rsid w:val="062D0D58"/>
    <w:rsid w:val="06C218CF"/>
    <w:rsid w:val="07700BE6"/>
    <w:rsid w:val="0A6759B9"/>
    <w:rsid w:val="0B13086D"/>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FEFEB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1832</Characters>
  <Lines>15</Lines>
  <Paragraphs>4</Paragraphs>
  <TotalTime>72</TotalTime>
  <ScaleCrop>false</ScaleCrop>
  <LinksUpToDate>false</LinksUpToDate>
  <CharactersWithSpaces>2149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2022-04-28T22:14:00Z</cp:lastPrinted>
  <dcterms:modified xsi:type="dcterms:W3CDTF">2022-05-10T15:27:51Z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