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10</w:t>
      </w:r>
      <w:r>
        <w:rPr>
          <w:rFonts w:hint="eastAsia" w:ascii="Times New Roman" w:hAnsi="Times New Roman" w:eastAsia="仿宋_GB2312" w:cs="仿宋"/>
          <w:color w:val="000000"/>
          <w:sz w:val="32"/>
          <w:szCs w:val="32"/>
          <w:u w:val="none"/>
        </w:rPr>
        <w:t>5</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 xml:space="preserve">天津市新光大眼镜店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仿宋_GB2312" w:hAnsi="楷体_GB2312" w:eastAsia="仿宋_GB2312" w:cs="楷体_GB2312"/>
          <w:color w:val="000000"/>
          <w:sz w:val="32"/>
          <w:szCs w:val="32"/>
          <w:u w:val="none"/>
        </w:rPr>
        <w:t>91120113MA06WWD74M</w:t>
      </w:r>
      <w:r>
        <w:rPr>
          <w:rFonts w:hint="eastAsia" w:ascii="仿宋_GB2312" w:hAnsi="楷体_GB2312" w:eastAsia="仿宋_GB2312" w:cs="楷体_GB2312"/>
          <w:color w:val="000000"/>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楷体_GB2312" w:eastAsia="仿宋_GB2312" w:cs="楷体_GB2312"/>
          <w:color w:val="000000"/>
          <w:sz w:val="32"/>
          <w:szCs w:val="32"/>
          <w:u w:val="none"/>
        </w:rPr>
        <w:t>天津市北辰区果园新村街东升里底商4-11号</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投资人：</w:t>
      </w:r>
      <w:r>
        <w:rPr>
          <w:rFonts w:hint="eastAsia" w:ascii="Times New Roman" w:hAnsi="Times New Roman" w:eastAsia="仿宋_GB2312" w:cs="Mongolian Baiti"/>
          <w:kern w:val="1"/>
          <w:sz w:val="32"/>
          <w:szCs w:val="32"/>
          <w:u w:val="none"/>
        </w:rPr>
        <w:t xml:space="preserve">刘孝岩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2022年3月4日，我局执法人员依法对当事人经营住所进行现场检查发现，当事人店内货架上摆放有1盒“伊丽视”隐形眼镜润滑液（10ml）正在销售，生产日期为2019年9月5日，有效期至2021年9月4日，产品批号为190902，该隐形眼镜润滑液标签标注注册证编号/产品技术要求编号：国械注准20173220903，生产许可证编号：陕食药监械生产许20150059号。现场检查该隐形眼镜润滑液售价为10元/盒。经局领导审批，我局执法人员依法对现场用于经营的1盒“伊丽视”隐形眼镜润滑液（10ml）进行了扣押，现场送达了《实施行政强制措施决定书》（津辰市监新强制〔2022〕7号），并告知采取行政强制措施的理由、依据及当事人依法享有的权利、救济途径。当事人放弃陈述、申辩。当事人涉嫌经营过期的医疗器械，2022年3月7日，执法人员报经分管局长批准，予以立案调查。</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经查明，当事人2020年10月份由当事人老乡处获得1盒“伊丽视”隐形眼镜润滑液（10ml）（生产日期为2019年9月5日，有效期至2021年9月4日，产品批号为190902，该隐形眼镜润滑液标签标注注册证编号/产品技术要求编号：国械注准20173220903，生产许可证编号：陕食药监械生产许20150059号）并置于店内销售，售价10元/盒。至检查时，上述隐形眼镜润滑液仍在销售。当事人的上述行为满足经营过期的医疗器械的构成要件。本案货值金额10元，未售出，无违法所得。</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上述事实，主要有以下证据证明：1.当事人的营业执照、医疗器械经营许可证、投资人刘孝岩身份证复印件；2.现场笔录及现场照片打印件；3.对刘孝岩的询问笔录；4.2022年3月21日现场笔录及现场照片打印件、整改报告；5.货值金额计算说明。</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w:t>
      </w:r>
      <w:r>
        <w:rPr>
          <w:rFonts w:ascii="仿宋_GB2312" w:hAnsi="楷体_GB2312" w:eastAsia="仿宋_GB2312" w:cs="楷体_GB2312"/>
          <w:color w:val="000000"/>
          <w:sz w:val="32"/>
          <w:szCs w:val="32"/>
          <w:u w:val="none"/>
        </w:rPr>
        <w:t>4</w:t>
      </w:r>
      <w:r>
        <w:rPr>
          <w:rFonts w:hint="eastAsia" w:ascii="仿宋_GB2312" w:hAnsi="楷体_GB2312" w:eastAsia="仿宋_GB2312" w:cs="楷体_GB2312"/>
          <w:color w:val="000000"/>
          <w:sz w:val="32"/>
          <w:szCs w:val="32"/>
          <w:u w:val="none"/>
        </w:rPr>
        <w:t>月2</w:t>
      </w:r>
      <w:r>
        <w:rPr>
          <w:rFonts w:ascii="仿宋_GB2312" w:hAnsi="楷体_GB2312" w:eastAsia="仿宋_GB2312" w:cs="楷体_GB2312"/>
          <w:color w:val="000000"/>
          <w:sz w:val="32"/>
          <w:szCs w:val="32"/>
          <w:u w:val="none"/>
        </w:rPr>
        <w:t>5</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2</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105</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w:t>
      </w:r>
      <w:r>
        <w:rPr>
          <w:rFonts w:hint="eastAsia" w:ascii="仿宋_GB2312" w:hAnsi="楷体_GB2312" w:eastAsia="仿宋_GB2312" w:cs="楷体_GB2312"/>
          <w:color w:val="000000"/>
          <w:sz w:val="32"/>
          <w:szCs w:val="32"/>
          <w:u w:val="none"/>
        </w:rPr>
        <w:t>提出陈述、申辩意见，</w:t>
      </w:r>
      <w:r>
        <w:rPr>
          <w:rFonts w:ascii="仿宋_GB2312" w:hAnsi="楷体_GB2312" w:eastAsia="仿宋_GB2312" w:cs="楷体_GB2312"/>
          <w:color w:val="000000"/>
          <w:sz w:val="32"/>
          <w:szCs w:val="32"/>
          <w:u w:val="none"/>
        </w:rPr>
        <w:t>未要求听证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本局认为，当事人的上述行为违反了《医疗器械监督管理条例》第五十五条：“医疗器械经营企业、使用单位不得经营、使用未依法注册或者备案、无合格证明文件以及过期、失效、淘汰的医疗器械。”的规定。</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属初次违法，在案发后主动对违法行为进行整改，且积极配合案件调查，应依据《中华人民共和国行政处罚法》第三十二条第一项“当事人有下列情形之一，应当从轻或者减轻行政处罚：（一）主动消除或者减轻违法行为危害后果的；”和《天津市市场和质量监督管理委员会行政处罚裁量适用规则》第十三条第一项“当事人有下列情形之一的，应当依法从轻或者减轻行政处罚：（一）主动消除或者减轻违法行为危害后果的；”和《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予以减轻处罚。</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医疗器械监督管理条例》第八十六条第三项：“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三）经营、使用无合格证明文件、过期、失效、淘汰的医疗器械，或者使用未依法注册的医疗器械；”的规定，责令当事人改正违法行为，给予以下行政处罚：1.没收生产日期为2019年9月5日，有效期至2021年9月4日，产品批号为190902，该隐形眼镜润滑液标签标注注册证编号/产品技术要求编号：国械注准20173220903，生产许可证编号：陕食药监械生产许20150059号是“伊丽视”隐形眼镜润滑液（10ml）1盒；2.罚款500元。</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5</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6</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pStyle w:val="4"/>
        <w:spacing w:line="360" w:lineRule="exact"/>
        <w:jc w:val="both"/>
        <w:rPr>
          <w:rFonts w:ascii="Times New Roman" w:hAnsi="Times New Roman" w:eastAsia="仿宋_GB2312" w:cs="仿宋"/>
          <w:color w:val="000000"/>
          <w:sz w:val="32"/>
          <w:szCs w:val="32"/>
          <w:u w:val="none"/>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96994"/>
    <w:rsid w:val="001E6AED"/>
    <w:rsid w:val="00316345"/>
    <w:rsid w:val="0034295B"/>
    <w:rsid w:val="00362B6B"/>
    <w:rsid w:val="00491806"/>
    <w:rsid w:val="004E13E0"/>
    <w:rsid w:val="00545C83"/>
    <w:rsid w:val="00553C21"/>
    <w:rsid w:val="00633C9A"/>
    <w:rsid w:val="007F239A"/>
    <w:rsid w:val="00974BBD"/>
    <w:rsid w:val="0099379E"/>
    <w:rsid w:val="00997CE8"/>
    <w:rsid w:val="009A35EA"/>
    <w:rsid w:val="00A5559F"/>
    <w:rsid w:val="00B02A9D"/>
    <w:rsid w:val="00BF1313"/>
    <w:rsid w:val="00C26503"/>
    <w:rsid w:val="00C5314B"/>
    <w:rsid w:val="00C90FDC"/>
    <w:rsid w:val="00D170A5"/>
    <w:rsid w:val="00D17173"/>
    <w:rsid w:val="00DF041A"/>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EFFE67D"/>
    <w:rsid w:val="5F6D10D4"/>
    <w:rsid w:val="61331AB8"/>
    <w:rsid w:val="65066DAA"/>
    <w:rsid w:val="6684205A"/>
    <w:rsid w:val="67A21BF2"/>
    <w:rsid w:val="6D9511F9"/>
    <w:rsid w:val="70D10485"/>
    <w:rsid w:val="7A493C54"/>
    <w:rsid w:val="7A9D55B3"/>
    <w:rsid w:val="7D52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368</Words>
  <Characters>2099</Characters>
  <Lines>17</Lines>
  <Paragraphs>4</Paragraphs>
  <TotalTime>79</TotalTime>
  <ScaleCrop>false</ScaleCrop>
  <LinksUpToDate>false</LinksUpToDate>
  <CharactersWithSpaces>2463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greatwall</cp:lastModifiedBy>
  <cp:lastPrinted>2022-04-29T15:47:00Z</cp:lastPrinted>
  <dcterms:modified xsi:type="dcterms:W3CDTF">2022-05-11T16:28:31Z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