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117</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Mongolian Baiti"/>
          <w:kern w:val="1"/>
          <w:sz w:val="32"/>
          <w:szCs w:val="32"/>
          <w:u w:val="none"/>
        </w:rPr>
        <w:t>天津市北辰区</w:t>
      </w:r>
      <w:r>
        <w:rPr>
          <w:rFonts w:hint="eastAsia" w:ascii="仿宋_GB2312" w:hAnsi="Times New Roman" w:eastAsia="仿宋_GB2312" w:cs="Mongolian Baiti"/>
          <w:kern w:val="1"/>
          <w:sz w:val="32"/>
          <w:szCs w:val="32"/>
          <w:u w:val="none"/>
          <w:lang w:eastAsia="zh-CN"/>
        </w:rPr>
        <w:t>永乐生活超市</w:t>
      </w:r>
      <w:r>
        <w:rPr>
          <w:rFonts w:hint="eastAsia" w:ascii="仿宋_GB2312" w:hAnsi="Times New Roman" w:eastAsia="仿宋_GB2312" w:cs="Mongolian Baiti"/>
          <w:kern w:val="1"/>
          <w:sz w:val="32"/>
          <w:szCs w:val="32"/>
          <w:u w:val="none"/>
        </w:rPr>
        <w:t>（</w:t>
      </w:r>
      <w:r>
        <w:rPr>
          <w:rFonts w:hint="eastAsia" w:ascii="仿宋_GB2312" w:hAnsi="Times New Roman" w:eastAsia="仿宋_GB2312" w:cs="Mongolian Baiti"/>
          <w:kern w:val="1"/>
          <w:sz w:val="32"/>
          <w:szCs w:val="32"/>
          <w:u w:val="none"/>
          <w:lang w:eastAsia="zh-CN"/>
        </w:rPr>
        <w:t>张根勇</w:t>
      </w:r>
      <w:r>
        <w:rPr>
          <w:rFonts w:hint="eastAsia" w:ascii="仿宋_GB2312" w:hAnsi="Times New Roman" w:eastAsia="仿宋_GB2312" w:cs="Mongolian Baiti"/>
          <w:kern w:val="1"/>
          <w:sz w:val="32"/>
          <w:szCs w:val="32"/>
          <w:u w:val="none"/>
        </w:rPr>
        <w:t>）</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Mongolian Baiti"/>
          <w:kern w:val="1"/>
          <w:sz w:val="32"/>
          <w:szCs w:val="32"/>
          <w:u w:val="none"/>
        </w:rPr>
        <w:t>9</w:t>
      </w:r>
      <w:r>
        <w:rPr>
          <w:rFonts w:hint="eastAsia" w:ascii="仿宋_GB2312" w:hAnsi="Times New Roman" w:eastAsia="仿宋_GB2312" w:cs="Mongolian Baiti"/>
          <w:kern w:val="1"/>
          <w:sz w:val="32"/>
          <w:szCs w:val="32"/>
          <w:u w:val="none"/>
          <w:lang w:val="en-US" w:eastAsia="zh-CN"/>
        </w:rPr>
        <w:t>2</w:t>
      </w:r>
      <w:r>
        <w:rPr>
          <w:rFonts w:hint="eastAsia" w:ascii="仿宋_GB2312" w:hAnsi="Times New Roman" w:eastAsia="仿宋_GB2312" w:cs="Mongolian Baiti"/>
          <w:kern w:val="1"/>
          <w:sz w:val="32"/>
          <w:szCs w:val="32"/>
          <w:u w:val="none"/>
        </w:rPr>
        <w:t>120113MA</w:t>
      </w:r>
      <w:r>
        <w:rPr>
          <w:rFonts w:hint="eastAsia" w:ascii="仿宋_GB2312" w:hAnsi="Times New Roman" w:eastAsia="仿宋_GB2312" w:cs="Mongolian Baiti"/>
          <w:kern w:val="1"/>
          <w:sz w:val="32"/>
          <w:szCs w:val="32"/>
          <w:u w:val="none"/>
          <w:lang w:val="en-US" w:eastAsia="zh-CN"/>
        </w:rPr>
        <w:t>07168F9G</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Mongolian Baiti"/>
          <w:kern w:val="1"/>
          <w:sz w:val="32"/>
          <w:szCs w:val="32"/>
          <w:u w:val="none"/>
        </w:rPr>
        <w:t>天津市北辰区双街镇</w:t>
      </w:r>
      <w:r>
        <w:rPr>
          <w:rFonts w:hint="eastAsia" w:ascii="仿宋_GB2312" w:hAnsi="Times New Roman" w:eastAsia="仿宋_GB2312" w:cs="Mongolian Baiti"/>
          <w:kern w:val="1"/>
          <w:sz w:val="32"/>
          <w:szCs w:val="32"/>
          <w:u w:val="none"/>
          <w:lang w:eastAsia="zh-CN"/>
        </w:rPr>
        <w:t>庄园南道</w:t>
      </w:r>
      <w:r>
        <w:rPr>
          <w:rFonts w:hint="eastAsia" w:ascii="仿宋_GB2312" w:hAnsi="Times New Roman" w:eastAsia="仿宋_GB2312" w:cs="Mongolian Baiti"/>
          <w:kern w:val="1"/>
          <w:sz w:val="32"/>
          <w:szCs w:val="32"/>
          <w:u w:val="none"/>
          <w:lang w:val="en-US" w:eastAsia="zh-CN"/>
        </w:rPr>
        <w:t>37号</w:t>
      </w:r>
      <w:r>
        <w:rPr>
          <w:rFonts w:ascii="仿宋_GB2312" w:hAnsi="Times New Roman" w:eastAsia="仿宋_GB2312" w:cs="仿宋_GB2312"/>
          <w:bCs/>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Mongolian Baiti"/>
          <w:kern w:val="1"/>
          <w:sz w:val="32"/>
          <w:szCs w:val="32"/>
          <w:u w:val="none"/>
          <w:lang w:eastAsia="zh-CN"/>
        </w:rPr>
        <w:t>张根勇</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日，我局执法人员对位于天津市北辰区双街镇</w:t>
      </w:r>
      <w:r>
        <w:rPr>
          <w:rFonts w:hint="eastAsia" w:ascii="仿宋_GB2312" w:hAnsi="仿宋_GB2312" w:eastAsia="仿宋_GB2312" w:cs="仿宋_GB2312"/>
          <w:sz w:val="32"/>
          <w:szCs w:val="32"/>
          <w:u w:val="none"/>
          <w:lang w:eastAsia="zh-CN"/>
        </w:rPr>
        <w:t>庄园南道</w:t>
      </w:r>
      <w:r>
        <w:rPr>
          <w:rFonts w:hint="eastAsia" w:ascii="仿宋_GB2312" w:hAnsi="仿宋_GB2312" w:eastAsia="仿宋_GB2312" w:cs="仿宋_GB2312"/>
          <w:sz w:val="32"/>
          <w:szCs w:val="32"/>
          <w:u w:val="none"/>
          <w:lang w:val="en-US" w:eastAsia="zh-CN"/>
        </w:rPr>
        <w:t>37号</w:t>
      </w:r>
      <w:r>
        <w:rPr>
          <w:rFonts w:hint="eastAsia" w:ascii="仿宋_GB2312" w:hAnsi="仿宋_GB2312" w:eastAsia="仿宋_GB2312" w:cs="仿宋_GB2312"/>
          <w:sz w:val="32"/>
          <w:szCs w:val="32"/>
          <w:u w:val="none"/>
        </w:rPr>
        <w:t>的</w:t>
      </w:r>
      <w:r>
        <w:rPr>
          <w:rFonts w:hint="eastAsia" w:ascii="仿宋_GB2312" w:hAnsi="Times New Roman" w:eastAsia="仿宋_GB2312" w:cs="Mongolian Baiti"/>
          <w:kern w:val="1"/>
          <w:sz w:val="32"/>
          <w:szCs w:val="32"/>
          <w:u w:val="none"/>
        </w:rPr>
        <w:t>天津市北辰区</w:t>
      </w:r>
      <w:r>
        <w:rPr>
          <w:rFonts w:hint="eastAsia" w:ascii="仿宋_GB2312" w:hAnsi="Times New Roman" w:eastAsia="仿宋_GB2312" w:cs="Mongolian Baiti"/>
          <w:kern w:val="1"/>
          <w:sz w:val="32"/>
          <w:szCs w:val="32"/>
          <w:u w:val="none"/>
          <w:lang w:eastAsia="zh-CN"/>
        </w:rPr>
        <w:t>永乐生活超市</w:t>
      </w:r>
      <w:r>
        <w:rPr>
          <w:rFonts w:hint="eastAsia" w:ascii="仿宋_GB2312" w:hAnsi="仿宋_GB2312" w:eastAsia="仿宋_GB2312" w:cs="仿宋_GB2312"/>
          <w:sz w:val="32"/>
          <w:szCs w:val="32"/>
          <w:u w:val="none"/>
        </w:rPr>
        <w:t>进行现场检查，在当事人经营的</w:t>
      </w:r>
      <w:r>
        <w:rPr>
          <w:rFonts w:hint="eastAsia" w:ascii="仿宋_GB2312" w:hAnsi="仿宋_GB2312" w:eastAsia="仿宋_GB2312" w:cs="仿宋_GB2312"/>
          <w:sz w:val="32"/>
          <w:szCs w:val="32"/>
          <w:u w:val="none"/>
          <w:lang w:eastAsia="zh-CN"/>
        </w:rPr>
        <w:t>生活超市入口处的货架上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有待售的分分鲜三明治蛋糕（可可味）</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净含量</w:t>
      </w:r>
      <w:r>
        <w:rPr>
          <w:rFonts w:hint="eastAsia" w:ascii="仿宋_GB2312" w:hAnsi="仿宋_GB2312" w:eastAsia="仿宋_GB2312" w:cs="仿宋_GB2312"/>
          <w:sz w:val="32"/>
          <w:szCs w:val="32"/>
          <w:u w:val="none"/>
          <w:lang w:val="en-US" w:eastAsia="zh-CN"/>
        </w:rPr>
        <w:t>:95克，委托单位:浙江阿兴食品有限公司，地址：浙江省杭州市余杭区龙船坞路157号4幢201室、502室，生产日期：2022年4月12日，保质期：3个月</w:t>
      </w:r>
      <w:r>
        <w:rPr>
          <w:rFonts w:hint="eastAsia" w:ascii="仿宋_GB2312" w:hAnsi="仿宋_GB2312" w:eastAsia="仿宋_GB2312" w:cs="仿宋_GB2312"/>
          <w:sz w:val="32"/>
          <w:szCs w:val="32"/>
          <w:u w:val="none"/>
        </w:rPr>
        <w:t>）已超过保质期。</w:t>
      </w:r>
      <w:r>
        <w:rPr>
          <w:rFonts w:hint="eastAsia" w:eastAsia="仿宋_GB2312" w:cs="仿宋_GB2312"/>
          <w:sz w:val="32"/>
          <w:szCs w:val="32"/>
          <w:u w:val="none"/>
        </w:rPr>
        <w:t>经局领导审批，执法人员依法对上述超过保质期</w:t>
      </w:r>
      <w:r>
        <w:rPr>
          <w:rFonts w:eastAsia="仿宋_GB2312" w:cs="仿宋_GB2312"/>
          <w:sz w:val="32"/>
          <w:szCs w:val="32"/>
          <w:u w:val="none"/>
        </w:rPr>
        <w:t>的</w:t>
      </w:r>
      <w:r>
        <w:rPr>
          <w:rFonts w:hint="eastAsia" w:eastAsia="仿宋_GB2312" w:cs="仿宋_GB2312"/>
          <w:sz w:val="32"/>
          <w:szCs w:val="32"/>
          <w:u w:val="none"/>
        </w:rPr>
        <w:t>食品</w:t>
      </w:r>
      <w:r>
        <w:rPr>
          <w:rFonts w:eastAsia="仿宋_GB2312" w:cs="仿宋_GB2312"/>
          <w:sz w:val="32"/>
          <w:szCs w:val="32"/>
          <w:u w:val="none"/>
        </w:rPr>
        <w:t>实施扣押强制措施</w:t>
      </w:r>
      <w:r>
        <w:rPr>
          <w:rFonts w:hint="eastAsia" w:eastAsia="仿宋_GB2312" w:cs="仿宋_GB2312"/>
          <w:sz w:val="32"/>
          <w:szCs w:val="32"/>
          <w:u w:val="none"/>
        </w:rPr>
        <w:t>，现场送达了《实施行政强制措施决定书》（津辰市监双街</w:t>
      </w:r>
      <w:r>
        <w:rPr>
          <w:rFonts w:hint="eastAsia" w:eastAsia="仿宋_GB2312" w:cs="仿宋_GB2312"/>
          <w:sz w:val="32"/>
          <w:szCs w:val="32"/>
          <w:u w:val="none"/>
          <w:lang w:eastAsia="zh-CN"/>
        </w:rPr>
        <w:t>强制</w:t>
      </w: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12</w:t>
      </w:r>
      <w:r>
        <w:rPr>
          <w:rFonts w:hint="eastAsia" w:eastAsia="仿宋_GB2312" w:cs="仿宋_GB2312"/>
          <w:sz w:val="32"/>
          <w:szCs w:val="32"/>
          <w:u w:val="none"/>
        </w:rPr>
        <w:t xml:space="preserve">号），并告知采取行政强制措施的理由、依据及当事人依法享有的权利、救济途径。当事人放弃陈述、申辩。 </w:t>
      </w:r>
      <w:r>
        <w:rPr>
          <w:rFonts w:hint="eastAsia" w:ascii="仿宋_GB2312" w:eastAsia="仿宋_GB2312" w:cs="仿宋_GB2312"/>
          <w:kern w:val="1"/>
          <w:sz w:val="32"/>
          <w:szCs w:val="32"/>
          <w:u w:val="none"/>
          <w:lang w:eastAsia="zh-CN"/>
        </w:rPr>
        <w:t>同</w:t>
      </w:r>
      <w:r>
        <w:rPr>
          <w:rFonts w:ascii="仿宋_GB2312" w:eastAsia="仿宋_GB2312" w:cs="仿宋_GB2312"/>
          <w:kern w:val="1"/>
          <w:sz w:val="32"/>
          <w:szCs w:val="32"/>
          <w:u w:val="none"/>
        </w:rPr>
        <w:t>日</w:t>
      </w:r>
      <w:r>
        <w:rPr>
          <w:rFonts w:hint="eastAsia" w:eastAsia="仿宋_GB2312" w:cs="仿宋_GB2312"/>
          <w:sz w:val="32"/>
          <w:szCs w:val="32"/>
          <w:u w:val="none"/>
        </w:rPr>
        <w:t>，执法人员报经局领导批准，予以立案调查</w:t>
      </w:r>
      <w:r>
        <w:rPr>
          <w:rFonts w:hint="eastAsia" w:asci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sz w:val="32"/>
          <w:szCs w:val="32"/>
          <w:u w:val="none"/>
        </w:rPr>
        <w:t>当事人</w:t>
      </w:r>
      <w:r>
        <w:rPr>
          <w:rFonts w:hint="eastAsia" w:ascii="仿宋_GB2312" w:eastAsia="仿宋_GB2312" w:cs="仿宋_GB2312"/>
          <w:color w:val="000000" w:themeColor="text1"/>
          <w:kern w:val="1"/>
          <w:sz w:val="32"/>
          <w:szCs w:val="32"/>
          <w:highlight w:val="none"/>
          <w:u w:val="none"/>
          <w14:textFill>
            <w14:solidFill>
              <w14:schemeClr w14:val="tx1"/>
            </w14:solidFill>
          </w14:textFill>
        </w:rPr>
        <w:t>于</w:t>
      </w:r>
      <w:r>
        <w:rPr>
          <w:rFonts w:ascii="仿宋_GB2312" w:eastAsia="仿宋_GB2312" w:cs="仿宋_GB2312"/>
          <w:color w:val="000000" w:themeColor="text1"/>
          <w:kern w:val="1"/>
          <w:sz w:val="32"/>
          <w:szCs w:val="32"/>
          <w:highlight w:val="none"/>
          <w:u w:val="none"/>
          <w14:textFill>
            <w14:solidFill>
              <w14:schemeClr w14:val="tx1"/>
            </w14:solidFill>
          </w14:textFill>
        </w:rPr>
        <w:t>20</w:t>
      </w:r>
      <w:r>
        <w:rPr>
          <w:rFonts w:hint="eastAsia" w:ascii="仿宋_GB2312" w:eastAsia="仿宋_GB2312" w:cs="仿宋_GB2312"/>
          <w:color w:val="000000" w:themeColor="text1"/>
          <w:kern w:val="1"/>
          <w:sz w:val="32"/>
          <w:szCs w:val="32"/>
          <w:highlight w:val="none"/>
          <w:u w:val="none"/>
          <w:lang w:val="en-US" w:eastAsia="zh-CN"/>
          <w14:textFill>
            <w14:solidFill>
              <w14:schemeClr w14:val="tx1"/>
            </w14:solidFill>
          </w14:textFill>
        </w:rPr>
        <w:t>20</w:t>
      </w:r>
      <w:r>
        <w:rPr>
          <w:rFonts w:ascii="仿宋_GB2312" w:eastAsia="仿宋_GB2312" w:cs="仿宋_GB2312"/>
          <w:color w:val="000000" w:themeColor="text1"/>
          <w:kern w:val="1"/>
          <w:sz w:val="32"/>
          <w:szCs w:val="32"/>
          <w:highlight w:val="none"/>
          <w:u w:val="none"/>
          <w14:textFill>
            <w14:solidFill>
              <w14:schemeClr w14:val="tx1"/>
            </w14:solidFill>
          </w14:textFill>
        </w:rPr>
        <w:t>年</w:t>
      </w:r>
      <w:r>
        <w:rPr>
          <w:rFonts w:hint="eastAsia" w:ascii="仿宋_GB2312" w:eastAsia="仿宋_GB2312" w:cs="仿宋_GB2312"/>
          <w:color w:val="000000" w:themeColor="text1"/>
          <w:kern w:val="1"/>
          <w:sz w:val="32"/>
          <w:szCs w:val="32"/>
          <w:highlight w:val="none"/>
          <w:u w:val="none"/>
          <w:lang w:val="en-US" w:eastAsia="zh-CN"/>
          <w14:textFill>
            <w14:solidFill>
              <w14:schemeClr w14:val="tx1"/>
            </w14:solidFill>
          </w14:textFill>
        </w:rPr>
        <w:t>5</w:t>
      </w:r>
      <w:r>
        <w:rPr>
          <w:rFonts w:ascii="仿宋_GB2312" w:eastAsia="仿宋_GB2312" w:cs="仿宋_GB2312"/>
          <w:color w:val="000000" w:themeColor="text1"/>
          <w:kern w:val="1"/>
          <w:sz w:val="32"/>
          <w:szCs w:val="32"/>
          <w:highlight w:val="none"/>
          <w:u w:val="none"/>
          <w14:textFill>
            <w14:solidFill>
              <w14:schemeClr w14:val="tx1"/>
            </w14:solidFill>
          </w14:textFill>
        </w:rPr>
        <w:t>月</w:t>
      </w:r>
      <w:r>
        <w:rPr>
          <w:rFonts w:hint="eastAsia" w:ascii="仿宋_GB2312" w:eastAsia="仿宋_GB2312" w:cs="仿宋_GB2312"/>
          <w:color w:val="000000" w:themeColor="text1"/>
          <w:kern w:val="1"/>
          <w:sz w:val="32"/>
          <w:szCs w:val="32"/>
          <w:highlight w:val="none"/>
          <w:u w:val="none"/>
          <w:lang w:val="en-US" w:eastAsia="zh-CN"/>
          <w14:textFill>
            <w14:solidFill>
              <w14:schemeClr w14:val="tx1"/>
            </w14:solidFill>
          </w14:textFill>
        </w:rPr>
        <w:t>26</w:t>
      </w:r>
      <w:r>
        <w:rPr>
          <w:rFonts w:ascii="仿宋_GB2312" w:eastAsia="仿宋_GB2312" w:cs="仿宋_GB2312"/>
          <w:color w:val="000000" w:themeColor="text1"/>
          <w:kern w:val="1"/>
          <w:sz w:val="32"/>
          <w:szCs w:val="32"/>
          <w:highlight w:val="none"/>
          <w:u w:val="none"/>
          <w14:textFill>
            <w14:solidFill>
              <w14:schemeClr w14:val="tx1"/>
            </w14:solidFill>
          </w14:textFill>
        </w:rPr>
        <w:t>日取</w:t>
      </w:r>
      <w:r>
        <w:rPr>
          <w:rFonts w:ascii="仿宋_GB2312" w:eastAsia="仿宋_GB2312" w:cs="仿宋_GB2312"/>
          <w:kern w:val="1"/>
          <w:sz w:val="32"/>
          <w:szCs w:val="32"/>
          <w:u w:val="none"/>
        </w:rPr>
        <w:t>得食品经营许可证，</w:t>
      </w:r>
      <w:r>
        <w:rPr>
          <w:rFonts w:hint="eastAsia" w:ascii="仿宋_GB2312" w:eastAsia="仿宋_GB2312" w:cs="仿宋_GB2312"/>
          <w:kern w:val="1"/>
          <w:sz w:val="32"/>
          <w:szCs w:val="32"/>
          <w:u w:val="none"/>
        </w:rPr>
        <w:t>在</w:t>
      </w:r>
      <w:r>
        <w:rPr>
          <w:rFonts w:hint="eastAsia" w:ascii="仿宋_GB2312" w:hAnsi="Times New Roman" w:eastAsia="仿宋_GB2312" w:cs="Mongolian Baiti"/>
          <w:kern w:val="1"/>
          <w:sz w:val="32"/>
          <w:szCs w:val="32"/>
          <w:u w:val="none"/>
        </w:rPr>
        <w:t>天津市北辰区双街镇</w:t>
      </w:r>
      <w:r>
        <w:rPr>
          <w:rFonts w:hint="eastAsia" w:ascii="仿宋_GB2312" w:hAnsi="Times New Roman" w:eastAsia="仿宋_GB2312" w:cs="Mongolian Baiti"/>
          <w:kern w:val="1"/>
          <w:sz w:val="32"/>
          <w:szCs w:val="32"/>
          <w:u w:val="none"/>
          <w:lang w:eastAsia="zh-CN"/>
        </w:rPr>
        <w:t>庄园南道</w:t>
      </w:r>
      <w:r>
        <w:rPr>
          <w:rFonts w:hint="eastAsia" w:ascii="仿宋_GB2312" w:hAnsi="Times New Roman" w:eastAsia="仿宋_GB2312" w:cs="Mongolian Baiti"/>
          <w:kern w:val="1"/>
          <w:sz w:val="32"/>
          <w:szCs w:val="32"/>
          <w:u w:val="none"/>
          <w:lang w:val="en-US" w:eastAsia="zh-CN"/>
        </w:rPr>
        <w:t>37号经营生活超市</w:t>
      </w:r>
      <w:r>
        <w:rPr>
          <w:rFonts w:hint="eastAsia" w:ascii="仿宋_GB2312" w:eastAsia="仿宋_GB2312" w:cs="仿宋_GB2312"/>
          <w:kern w:val="1"/>
          <w:sz w:val="32"/>
          <w:szCs w:val="32"/>
          <w:u w:val="none"/>
        </w:rPr>
        <w:t>。</w:t>
      </w: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日，当事人经营的</w:t>
      </w:r>
      <w:r>
        <w:rPr>
          <w:rFonts w:hint="eastAsia" w:ascii="仿宋_GB2312" w:hAnsi="仿宋_GB2312" w:eastAsia="仿宋_GB2312" w:cs="仿宋_GB2312"/>
          <w:sz w:val="32"/>
          <w:szCs w:val="32"/>
          <w:u w:val="none"/>
          <w:lang w:eastAsia="zh-CN"/>
        </w:rPr>
        <w:t>生活超市入口处的货架上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有待售的分分鲜三明治蛋糕（可可味）</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净含量</w:t>
      </w:r>
      <w:r>
        <w:rPr>
          <w:rFonts w:hint="eastAsia" w:ascii="仿宋_GB2312" w:hAnsi="仿宋_GB2312" w:eastAsia="仿宋_GB2312" w:cs="仿宋_GB2312"/>
          <w:sz w:val="32"/>
          <w:szCs w:val="32"/>
          <w:u w:val="none"/>
          <w:lang w:val="en-US" w:eastAsia="zh-CN"/>
        </w:rPr>
        <w:t>:95克，委托单位:浙江阿兴食品有限公司，地址：浙江省杭州市余杭区龙船坞路157号4幢201室、502室，生产日期：2022年4月12日，保质期：3个月</w:t>
      </w:r>
      <w:r>
        <w:rPr>
          <w:rFonts w:hint="eastAsia" w:ascii="仿宋_GB2312" w:hAnsi="仿宋_GB2312" w:eastAsia="仿宋_GB2312" w:cs="仿宋_GB2312"/>
          <w:sz w:val="32"/>
          <w:szCs w:val="32"/>
          <w:u w:val="none"/>
        </w:rPr>
        <w:t>）已超过保质期。</w:t>
      </w:r>
      <w:r>
        <w:rPr>
          <w:rFonts w:hint="eastAsia" w:ascii="仿宋_GB2312" w:eastAsia="仿宋_GB2312" w:cs="仿宋_GB2312"/>
          <w:kern w:val="1"/>
          <w:sz w:val="32"/>
          <w:szCs w:val="32"/>
          <w:u w:val="none"/>
        </w:rPr>
        <w:t>上述行为满足经营超过保质期食品的构成要件。当事人于</w:t>
      </w:r>
      <w:r>
        <w:rPr>
          <w:rFonts w:hint="eastAsia" w:ascii="仿宋_GB2312" w:eastAsia="仿宋_GB2312" w:cs="仿宋_GB2312"/>
          <w:color w:val="000000" w:themeColor="text1"/>
          <w:kern w:val="1"/>
          <w:sz w:val="32"/>
          <w:szCs w:val="32"/>
          <w:u w:val="none"/>
          <w14:textFill>
            <w14:solidFill>
              <w14:schemeClr w14:val="tx1"/>
            </w14:solidFill>
          </w14:textFill>
        </w:rPr>
        <w:t>2</w:t>
      </w:r>
      <w:r>
        <w:rPr>
          <w:rFonts w:ascii="仿宋_GB2312" w:eastAsia="仿宋_GB2312" w:cs="仿宋_GB2312"/>
          <w:color w:val="000000" w:themeColor="text1"/>
          <w:kern w:val="1"/>
          <w:sz w:val="32"/>
          <w:szCs w:val="32"/>
          <w:u w:val="none"/>
          <w14:textFill>
            <w14:solidFill>
              <w14:schemeClr w14:val="tx1"/>
            </w14:solidFill>
          </w14:textFill>
        </w:rPr>
        <w:t>02</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2</w:t>
      </w:r>
      <w:r>
        <w:rPr>
          <w:rFonts w:ascii="仿宋_GB2312" w:eastAsia="仿宋_GB2312" w:cs="仿宋_GB2312"/>
          <w:color w:val="000000" w:themeColor="text1"/>
          <w:kern w:val="1"/>
          <w:sz w:val="32"/>
          <w:szCs w:val="32"/>
          <w:u w:val="none"/>
          <w14:textFill>
            <w14:solidFill>
              <w14:schemeClr w14:val="tx1"/>
            </w14:solidFill>
          </w14:textFill>
        </w:rPr>
        <w:t>年</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5</w:t>
      </w:r>
      <w:r>
        <w:rPr>
          <w:rFonts w:ascii="仿宋_GB2312" w:eastAsia="仿宋_GB2312" w:cs="仿宋_GB2312"/>
          <w:color w:val="000000" w:themeColor="text1"/>
          <w:kern w:val="1"/>
          <w:sz w:val="32"/>
          <w:szCs w:val="32"/>
          <w:u w:val="none"/>
          <w14:textFill>
            <w14:solidFill>
              <w14:schemeClr w14:val="tx1"/>
            </w14:solidFill>
          </w14:textFill>
        </w:rPr>
        <w:t>月</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24</w:t>
      </w:r>
      <w:r>
        <w:rPr>
          <w:rFonts w:ascii="仿宋_GB2312" w:eastAsia="仿宋_GB2312" w:cs="仿宋_GB2312"/>
          <w:color w:val="000000" w:themeColor="text1"/>
          <w:kern w:val="1"/>
          <w:sz w:val="32"/>
          <w:szCs w:val="32"/>
          <w:u w:val="none"/>
          <w14:textFill>
            <w14:solidFill>
              <w14:schemeClr w14:val="tx1"/>
            </w14:solidFill>
          </w14:textFill>
        </w:rPr>
        <w:t>日</w:t>
      </w:r>
      <w:r>
        <w:rPr>
          <w:rFonts w:ascii="仿宋_GB2312" w:eastAsia="仿宋_GB2312" w:cs="仿宋_GB2312"/>
          <w:kern w:val="1"/>
          <w:sz w:val="32"/>
          <w:szCs w:val="32"/>
          <w:u w:val="none"/>
        </w:rPr>
        <w:t>采购</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10袋</w:t>
      </w:r>
      <w:r>
        <w:rPr>
          <w:rFonts w:hint="eastAsia" w:ascii="仿宋_GB2312" w:hAnsi="仿宋_GB2312" w:eastAsia="仿宋_GB2312" w:cs="仿宋_GB2312"/>
          <w:sz w:val="32"/>
          <w:szCs w:val="32"/>
          <w:u w:val="none"/>
          <w:lang w:eastAsia="zh-CN"/>
        </w:rPr>
        <w:t>分分鲜三明治蛋糕（可可味）</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已销售</w:t>
      </w:r>
      <w:r>
        <w:rPr>
          <w:rFonts w:hint="eastAsia" w:ascii="仿宋_GB2312" w:eastAsia="仿宋_GB2312" w:cs="仿宋_GB2312"/>
          <w:kern w:val="1"/>
          <w:sz w:val="32"/>
          <w:szCs w:val="32"/>
          <w:u w:val="none"/>
          <w:lang w:val="en-US" w:eastAsia="zh-CN"/>
        </w:rPr>
        <w:t>7袋，剩余3袋（1袋已超过保质期，其余两袋未超过保质期）</w:t>
      </w:r>
      <w:r>
        <w:rPr>
          <w:rFonts w:hint="eastAsia" w:ascii="仿宋_GB2312" w:hAnsi="仿宋" w:eastAsia="仿宋_GB2312"/>
          <w:color w:val="000000"/>
          <w:sz w:val="32"/>
          <w:szCs w:val="32"/>
          <w:u w:val="none"/>
          <w:lang w:eastAsia="zh-CN"/>
        </w:rPr>
        <w:t>。货值金额</w:t>
      </w:r>
      <w:r>
        <w:rPr>
          <w:rFonts w:hint="eastAsia" w:ascii="仿宋_GB2312" w:hAnsi="仿宋" w:eastAsia="仿宋_GB2312"/>
          <w:color w:val="000000"/>
          <w:sz w:val="32"/>
          <w:szCs w:val="32"/>
          <w:u w:val="none"/>
          <w:lang w:val="en-US" w:eastAsia="zh-CN"/>
        </w:rPr>
        <w:t>4元，违法所得无法计算。</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lang w:eastAsia="zh-CN"/>
        </w:rPr>
        <w:t>经营者</w:t>
      </w:r>
      <w:r>
        <w:rPr>
          <w:rFonts w:hint="eastAsia" w:ascii="仿宋_GB2312" w:eastAsia="仿宋_GB2312"/>
          <w:sz w:val="32"/>
          <w:szCs w:val="32"/>
          <w:u w:val="none"/>
        </w:rPr>
        <w:t>身份证复印件</w:t>
      </w:r>
      <w:r>
        <w:rPr>
          <w:rFonts w:hint="eastAsia" w:ascii="仿宋_GB2312" w:eastAsia="仿宋_GB2312"/>
          <w:sz w:val="32"/>
          <w:szCs w:val="32"/>
          <w:u w:val="none"/>
        </w:rPr>
        <w:t>；</w:t>
      </w:r>
      <w:r>
        <w:rPr>
          <w:rFonts w:hint="eastAsia" w:ascii="仿宋_GB2312" w:eastAsia="仿宋_GB2312"/>
          <w:sz w:val="32"/>
          <w:szCs w:val="32"/>
          <w:u w:val="none"/>
        </w:rPr>
        <w:t>2、现场笔录、现场照片、现场</w:t>
      </w:r>
      <w:r>
        <w:rPr>
          <w:rFonts w:ascii="仿宋_GB2312" w:eastAsia="仿宋_GB2312"/>
          <w:sz w:val="32"/>
          <w:szCs w:val="32"/>
          <w:u w:val="none"/>
        </w:rPr>
        <w:t>录像</w:t>
      </w:r>
      <w:r>
        <w:rPr>
          <w:rFonts w:hint="eastAsia" w:ascii="仿宋_GB2312" w:eastAsia="仿宋_GB2312"/>
          <w:sz w:val="32"/>
          <w:szCs w:val="32"/>
          <w:u w:val="none"/>
        </w:rPr>
        <w:t>；3、授权</w:t>
      </w:r>
      <w:r>
        <w:rPr>
          <w:rFonts w:ascii="仿宋_GB2312" w:eastAsia="仿宋_GB2312"/>
          <w:sz w:val="32"/>
          <w:szCs w:val="32"/>
          <w:u w:val="none"/>
        </w:rPr>
        <w:t>委托书、被委托人身份证复印件、</w:t>
      </w:r>
      <w:r>
        <w:rPr>
          <w:rFonts w:hint="eastAsia" w:ascii="仿宋_GB2312" w:eastAsia="仿宋_GB2312"/>
          <w:sz w:val="32"/>
          <w:szCs w:val="32"/>
          <w:u w:val="none"/>
        </w:rPr>
        <w:t>询问笔录；4、供货商营业执照复印件、食品经营许可证复印件、进货票据</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w:t>
      </w:r>
      <w:r>
        <w:rPr>
          <w:rFonts w:hint="eastAsia" w:ascii="仿宋_GB2312" w:eastAsia="仿宋_GB2312"/>
          <w:sz w:val="32"/>
          <w:szCs w:val="32"/>
          <w:u w:val="none"/>
        </w:rPr>
        <w:t>、</w:t>
      </w:r>
      <w:r>
        <w:rPr>
          <w:rFonts w:hint="eastAsia" w:ascii="仿宋_GB2312" w:eastAsia="仿宋_GB2312"/>
          <w:sz w:val="32"/>
          <w:szCs w:val="32"/>
          <w:u w:val="none"/>
          <w:lang w:val="en-US" w:eastAsia="zh-CN"/>
        </w:rPr>
        <w:t>2022年2月受到行政处罚的行政处罚决定书复印件</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6</w:t>
      </w:r>
      <w:r>
        <w:rPr>
          <w:rFonts w:hint="eastAsia" w:ascii="仿宋_GB2312" w:eastAsia="仿宋_GB2312"/>
          <w:sz w:val="32"/>
          <w:szCs w:val="32"/>
          <w:u w:val="none"/>
        </w:rPr>
        <w:t>、</w:t>
      </w:r>
      <w:r>
        <w:rPr>
          <w:rFonts w:hint="eastAsia" w:ascii="仿宋_GB2312" w:eastAsia="仿宋_GB2312"/>
          <w:sz w:val="32"/>
          <w:szCs w:val="32"/>
          <w:u w:val="none"/>
          <w:lang w:eastAsia="zh-CN"/>
        </w:rPr>
        <w:t>货值金额违法所得计算表；</w:t>
      </w:r>
      <w:r>
        <w:rPr>
          <w:rFonts w:hint="eastAsia" w:ascii="仿宋_GB2312" w:eastAsia="仿宋_GB2312"/>
          <w:sz w:val="32"/>
          <w:szCs w:val="32"/>
          <w:u w:val="none"/>
          <w:lang w:val="en-US" w:eastAsia="zh-CN"/>
        </w:rPr>
        <w:t>7</w:t>
      </w:r>
      <w:r>
        <w:rPr>
          <w:rFonts w:hint="eastAsia" w:ascii="仿宋_GB2312" w:eastAsia="仿宋_GB2312"/>
          <w:sz w:val="32"/>
          <w:szCs w:val="32"/>
          <w:u w:val="none"/>
        </w:rPr>
        <w:t>、</w:t>
      </w:r>
      <w:r>
        <w:rPr>
          <w:rFonts w:hint="eastAsia" w:ascii="仿宋_GB2312" w:eastAsia="仿宋_GB2312"/>
          <w:sz w:val="32"/>
          <w:szCs w:val="32"/>
          <w:u w:val="none"/>
          <w:lang w:eastAsia="zh-CN"/>
        </w:rPr>
        <w:t>整改报告、召回通知书、复查现场笔录</w:t>
      </w:r>
      <w:r>
        <w:rPr>
          <w:rFonts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9</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6</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117</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当事人上述行为违反了《中华人民共和国食品安全法》第三十四条第十</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ascii="仿宋_GB2312" w:hAnsi="Times New Roman" w:eastAsia="仿宋_GB2312" w:cs="仿宋_GB2312"/>
          <w:bCs/>
          <w:sz w:val="32"/>
          <w:szCs w:val="32"/>
          <w:u w:val="none"/>
        </w:rPr>
        <w:t>（十）标注虚假生产日期、保质期或者超过保质期的食品、食品添加剂；</w:t>
      </w:r>
      <w:r>
        <w:rPr>
          <w:rFonts w:hint="eastAsia" w:ascii="仿宋_GB2312" w:hAnsi="Times New Roman" w:eastAsia="仿宋_GB2312" w:cs="仿宋_GB2312"/>
          <w:bCs/>
          <w:sz w:val="32"/>
          <w:szCs w:val="32"/>
          <w:u w:val="none"/>
        </w:rPr>
        <w:t>”的规定。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color w:val="auto"/>
          <w:kern w:val="1"/>
          <w:sz w:val="32"/>
          <w:szCs w:val="32"/>
          <w:u w:val="none"/>
        </w:rPr>
        <w:t>自由裁量理由等其他需要说明的事项：</w:t>
      </w:r>
      <w:bookmarkStart w:id="3" w:name="_Hlk17884807"/>
      <w:r>
        <w:rPr>
          <w:rFonts w:hint="eastAsia" w:eastAsia="仿宋_GB2312" w:cs="仿宋_GB2312"/>
          <w:color w:val="auto"/>
          <w:sz w:val="32"/>
          <w:szCs w:val="32"/>
          <w:u w:val="none"/>
        </w:rPr>
        <w:t>当事人</w:t>
      </w:r>
      <w:bookmarkEnd w:id="3"/>
      <w:r>
        <w:rPr>
          <w:rFonts w:hint="eastAsia" w:eastAsia="仿宋_GB2312" w:cs="仿宋_GB2312"/>
          <w:color w:val="auto"/>
          <w:sz w:val="32"/>
          <w:szCs w:val="32"/>
          <w:u w:val="none"/>
        </w:rPr>
        <w:t>发现违法行为后，及时采取措施召回产品，主动消除危害后果</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积极配合行政机关检查，</w:t>
      </w:r>
      <w:r>
        <w:rPr>
          <w:rFonts w:hint="eastAsia" w:eastAsia="仿宋_GB2312" w:cs="仿宋_GB2312"/>
          <w:color w:val="auto"/>
          <w:sz w:val="32"/>
          <w:szCs w:val="32"/>
          <w:u w:val="none"/>
          <w:lang w:eastAsia="zh-CN"/>
        </w:rPr>
        <w:t>依据</w:t>
      </w:r>
      <w:r>
        <w:rPr>
          <w:rFonts w:hint="eastAsia" w:eastAsia="仿宋_GB2312" w:cs="仿宋_GB2312"/>
          <w:color w:val="auto"/>
          <w:sz w:val="32"/>
          <w:szCs w:val="32"/>
          <w:u w:val="none"/>
        </w:rPr>
        <w:t>《天津市市场和质量监督管理委员会行政处罚裁量适用规则》第十三条</w:t>
      </w:r>
      <w:r>
        <w:rPr>
          <w:rFonts w:hint="eastAsia" w:eastAsia="仿宋_GB2312" w:cs="仿宋_GB2312"/>
          <w:color w:val="auto"/>
          <w:sz w:val="32"/>
          <w:szCs w:val="32"/>
          <w:u w:val="none"/>
          <w:lang w:eastAsia="zh-CN"/>
        </w:rPr>
        <w:t>第一项、</w:t>
      </w:r>
      <w:r>
        <w:rPr>
          <w:rFonts w:hint="eastAsia" w:eastAsia="仿宋_GB2312" w:cs="仿宋_GB2312"/>
          <w:color w:val="auto"/>
          <w:sz w:val="32"/>
          <w:szCs w:val="32"/>
          <w:u w:val="none"/>
        </w:rPr>
        <w:t>第五项</w:t>
      </w:r>
      <w:r>
        <w:rPr>
          <w:rFonts w:hint="eastAsia" w:eastAsia="仿宋_GB2312" w:cs="仿宋_GB2312"/>
          <w:color w:val="auto"/>
          <w:sz w:val="32"/>
          <w:szCs w:val="32"/>
          <w:u w:val="none"/>
          <w:lang w:eastAsia="zh-CN"/>
        </w:rPr>
        <w:t>、第八项“</w:t>
      </w:r>
      <w:r>
        <w:rPr>
          <w:rFonts w:ascii="Times New Roman" w:hAnsi="Times New Roman" w:eastAsia="仿宋_GB2312"/>
          <w:color w:val="auto"/>
          <w:sz w:val="32"/>
          <w:szCs w:val="32"/>
          <w:u w:val="none"/>
        </w:rPr>
        <w:t>当事人有下列情形之一的，应当依法从轻或者减轻行政处</w:t>
      </w:r>
      <w:r>
        <w:rPr>
          <w:rFonts w:hint="eastAsia" w:eastAsia="仿宋_GB2312" w:cs="仿宋_GB2312"/>
          <w:color w:val="auto"/>
          <w:sz w:val="32"/>
          <w:szCs w:val="32"/>
          <w:u w:val="none"/>
        </w:rPr>
        <w:t>罚：（一）主动消除或者减轻违法行为危害后果的；（五）积极配合行政机关检查，如实提供有关账册、协议、单据、文件、记录、业务函件和其他资料以及积极改正违法行为的；（八）发现违法行为后，及时采取措施召回产品，主动消除或者减轻违法行为危害后果的</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的规定</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应当依法从轻或者减轻行政处罚。</w:t>
      </w:r>
      <w:r>
        <w:rPr>
          <w:rFonts w:hint="eastAsia" w:eastAsia="仿宋_GB2312" w:cs="仿宋_GB2312"/>
          <w:color w:val="auto"/>
          <w:sz w:val="32"/>
          <w:szCs w:val="32"/>
          <w:u w:val="none"/>
          <w:lang w:eastAsia="zh-CN"/>
        </w:rPr>
        <w:t>当事人同一年内</w:t>
      </w:r>
      <w:r>
        <w:rPr>
          <w:rFonts w:hint="eastAsia" w:eastAsia="仿宋_GB2312" w:cs="仿宋_GB2312"/>
          <w:color w:val="auto"/>
          <w:sz w:val="32"/>
          <w:szCs w:val="32"/>
          <w:u w:val="none"/>
        </w:rPr>
        <w:t>两次实施同一违法行为</w:t>
      </w:r>
      <w:r>
        <w:rPr>
          <w:rFonts w:hint="eastAsia" w:eastAsia="仿宋_GB2312" w:cs="仿宋_GB2312"/>
          <w:color w:val="auto"/>
          <w:sz w:val="32"/>
          <w:szCs w:val="32"/>
          <w:u w:val="none"/>
          <w:lang w:eastAsia="zh-CN"/>
        </w:rPr>
        <w:t>，依据</w:t>
      </w:r>
      <w:r>
        <w:rPr>
          <w:rFonts w:hint="eastAsia" w:eastAsia="仿宋_GB2312" w:cs="仿宋_GB2312"/>
          <w:color w:val="auto"/>
          <w:sz w:val="32"/>
          <w:szCs w:val="32"/>
          <w:u w:val="none"/>
        </w:rPr>
        <w:t>《天津市市场和质量监督管理委员会行政处罚裁量适用规则》第十</w:t>
      </w:r>
      <w:r>
        <w:rPr>
          <w:rFonts w:hint="eastAsia" w:eastAsia="仿宋_GB2312" w:cs="仿宋_GB2312"/>
          <w:color w:val="auto"/>
          <w:sz w:val="32"/>
          <w:szCs w:val="32"/>
          <w:u w:val="none"/>
          <w:lang w:eastAsia="zh-CN"/>
        </w:rPr>
        <w:t>四</w:t>
      </w:r>
      <w:r>
        <w:rPr>
          <w:rFonts w:hint="eastAsia" w:eastAsia="仿宋_GB2312" w:cs="仿宋_GB2312"/>
          <w:color w:val="auto"/>
          <w:sz w:val="32"/>
          <w:szCs w:val="32"/>
          <w:u w:val="none"/>
        </w:rPr>
        <w:t>条第</w:t>
      </w:r>
      <w:r>
        <w:rPr>
          <w:rFonts w:hint="eastAsia" w:eastAsia="仿宋_GB2312" w:cs="仿宋_GB2312"/>
          <w:color w:val="auto"/>
          <w:sz w:val="32"/>
          <w:szCs w:val="32"/>
          <w:u w:val="none"/>
          <w:lang w:eastAsia="zh-CN"/>
        </w:rPr>
        <w:t>十二</w:t>
      </w:r>
      <w:r>
        <w:rPr>
          <w:rFonts w:hint="eastAsia" w:eastAsia="仿宋_GB2312" w:cs="仿宋_GB2312"/>
          <w:color w:val="auto"/>
          <w:sz w:val="32"/>
          <w:szCs w:val="32"/>
          <w:u w:val="none"/>
        </w:rPr>
        <w:t>项</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当事人有下列情形之一的，可以认定为情节严重，依法从重行政处罚：（十二）两次以上实施同一违法行为，或者经教育后仍不改正的；</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的规定</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可以认定为情节严重，依法从重行政处罚</w:t>
      </w:r>
      <w:r>
        <w:rPr>
          <w:rFonts w:hint="eastAsia" w:eastAsia="仿宋_GB2312" w:cs="仿宋_GB2312"/>
          <w:color w:val="auto"/>
          <w:sz w:val="32"/>
          <w:szCs w:val="32"/>
          <w:u w:val="none"/>
          <w:lang w:eastAsia="zh-CN"/>
        </w:rPr>
        <w:t>。鉴于当事人存在</w:t>
      </w:r>
      <w:r>
        <w:rPr>
          <w:rFonts w:hint="eastAsia" w:eastAsia="仿宋_GB2312" w:cs="仿宋_GB2312"/>
          <w:color w:val="auto"/>
          <w:sz w:val="32"/>
          <w:szCs w:val="32"/>
          <w:u w:val="none"/>
        </w:rPr>
        <w:t>从轻或者减轻行政处罚</w:t>
      </w:r>
      <w:r>
        <w:rPr>
          <w:rFonts w:hint="eastAsia" w:eastAsia="仿宋_GB2312" w:cs="仿宋_GB2312"/>
          <w:color w:val="auto"/>
          <w:sz w:val="32"/>
          <w:szCs w:val="32"/>
          <w:u w:val="none"/>
          <w:lang w:eastAsia="zh-CN"/>
        </w:rPr>
        <w:t>和</w:t>
      </w:r>
      <w:r>
        <w:rPr>
          <w:rFonts w:hint="eastAsia" w:eastAsia="仿宋_GB2312" w:cs="仿宋_GB2312"/>
          <w:color w:val="auto"/>
          <w:sz w:val="32"/>
          <w:szCs w:val="32"/>
          <w:u w:val="none"/>
        </w:rPr>
        <w:t>从重行政处罚</w:t>
      </w:r>
      <w:r>
        <w:rPr>
          <w:rFonts w:hint="eastAsia" w:eastAsia="仿宋_GB2312" w:cs="仿宋_GB2312"/>
          <w:color w:val="auto"/>
          <w:sz w:val="32"/>
          <w:szCs w:val="32"/>
          <w:u w:val="none"/>
          <w:lang w:eastAsia="zh-CN"/>
        </w:rPr>
        <w:t>的情节，综合裁量建议减轻</w:t>
      </w:r>
      <w:r>
        <w:rPr>
          <w:rFonts w:hint="eastAsia" w:eastAsia="仿宋_GB2312" w:cs="仿宋_GB2312"/>
          <w:color w:val="auto"/>
          <w:sz w:val="32"/>
          <w:szCs w:val="32"/>
          <w:u w:val="none"/>
        </w:rPr>
        <w:t>行政处罚</w:t>
      </w:r>
      <w:r>
        <w:rPr>
          <w:rFonts w:hint="eastAsia" w:eastAsia="仿宋_GB2312" w:cs="仿宋_GB2312"/>
          <w:color w:val="auto"/>
          <w:sz w:val="32"/>
          <w:szCs w:val="32"/>
          <w:u w:val="none"/>
          <w:lang w:eastAsia="zh-CN"/>
        </w:rPr>
        <w:t>。</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一百二十四条第五</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_GB2312" w:hAnsi="Times New Roman" w:eastAsia="仿宋_GB2312" w:cs="仿宋_GB2312"/>
          <w:bCs/>
          <w:sz w:val="32"/>
          <w:szCs w:val="32"/>
          <w:u w:val="none"/>
        </w:rPr>
        <w:t>（五）生产经营标注虚假生产日期、保质期或者超过保质期的食品、食品添加剂；</w:t>
      </w:r>
      <w:r>
        <w:rPr>
          <w:rFonts w:hint="eastAsia" w:ascii="仿宋_GB2312" w:hAnsi="Times New Roman" w:eastAsia="仿宋_GB2312" w:cs="仿宋_GB2312"/>
          <w:bCs/>
          <w:sz w:val="32"/>
          <w:szCs w:val="32"/>
          <w:u w:val="none"/>
        </w:rPr>
        <w:t>”的规定，责令当事人立即停止经营超过保质期的食品行为，并对当事人给予以下行政处罚：</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rPr>
        <w:t>没收其经营</w:t>
      </w:r>
      <w:r>
        <w:rPr>
          <w:rFonts w:ascii="仿宋_GB2312" w:hAnsi="Times New Roman" w:eastAsia="仿宋_GB2312" w:cs="仿宋_GB2312"/>
          <w:bCs/>
          <w:sz w:val="32"/>
          <w:szCs w:val="32"/>
          <w:u w:val="none"/>
        </w:rPr>
        <w:t>的超过</w:t>
      </w:r>
      <w:r>
        <w:rPr>
          <w:rFonts w:hint="eastAsia" w:ascii="仿宋_GB2312" w:hAnsi="Times New Roman" w:eastAsia="仿宋_GB2312" w:cs="仿宋_GB2312"/>
          <w:bCs/>
          <w:sz w:val="32"/>
          <w:szCs w:val="32"/>
          <w:u w:val="none"/>
        </w:rPr>
        <w:t>保质期食品</w:t>
      </w:r>
      <w:r>
        <w:rPr>
          <w:rFonts w:hint="eastAsia" w:ascii="仿宋_GB2312" w:hAnsi="仿宋_GB2312" w:eastAsia="仿宋_GB2312" w:cs="仿宋_GB2312"/>
          <w:sz w:val="32"/>
          <w:szCs w:val="32"/>
          <w:u w:val="none"/>
          <w:lang w:eastAsia="zh-CN"/>
        </w:rPr>
        <w:t>分分鲜三明治蛋糕（可可味）</w:t>
      </w:r>
      <w:r>
        <w:rPr>
          <w:rFonts w:hint="eastAsia" w:ascii="仿宋_GB2312" w:hAnsi="仿宋_GB2312" w:eastAsia="仿宋_GB2312" w:cs="仿宋_GB2312"/>
          <w:sz w:val="32"/>
          <w:szCs w:val="32"/>
          <w:u w:val="none"/>
          <w:lang w:val="en-US" w:eastAsia="zh-CN"/>
        </w:rPr>
        <w:t>1袋</w:t>
      </w:r>
      <w:r>
        <w:rPr>
          <w:rFonts w:hint="eastAsia" w:ascii="仿宋_GB2312" w:hAnsi="Times New Roman" w:eastAsia="仿宋_GB2312" w:cs="仿宋_GB2312"/>
          <w:bCs/>
          <w:sz w:val="32"/>
          <w:szCs w:val="32"/>
          <w:u w:val="none"/>
        </w:rPr>
        <w:t>；2、罚款</w:t>
      </w:r>
      <w:r>
        <w:rPr>
          <w:rFonts w:hint="eastAsia" w:ascii="仿宋_GB2312" w:hAnsi="Times New Roman" w:eastAsia="仿宋_GB2312" w:cs="仿宋_GB2312"/>
          <w:bCs/>
          <w:sz w:val="32"/>
          <w:szCs w:val="32"/>
          <w:u w:val="none"/>
          <w:lang w:val="en-US" w:eastAsia="zh-CN"/>
        </w:rPr>
        <w:t>50</w:t>
      </w:r>
      <w:r>
        <w:rPr>
          <w:rFonts w:hint="eastAsia" w:ascii="仿宋_GB2312" w:hAnsi="Times New Roman" w:eastAsia="仿宋_GB2312" w:cs="仿宋_GB2312"/>
          <w:bCs/>
          <w:sz w:val="32"/>
          <w:szCs w:val="32"/>
          <w:u w:val="none"/>
        </w:rPr>
        <w:t>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4" w:name="_GoBack"/>
      <w:bookmarkEnd w:id="4"/>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15</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5FFFE182"/>
    <w:rsid w:val="760BD9E4"/>
    <w:rsid w:val="ACF60297"/>
    <w:rsid w:val="BDFD00CE"/>
    <w:rsid w:val="BFDFE897"/>
    <w:rsid w:val="C99F8131"/>
    <w:rsid w:val="F1EFA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0</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2021-08-06T18:58:00Z</dcterms:created>
  <dc:creator>林正禄</dc:creator>
  <cp:lastModifiedBy>greatwall</cp:lastModifiedBy>
  <cp:lastPrinted>2021-08-21T22:35:00Z</cp:lastPrinted>
  <dcterms:modified xsi:type="dcterms:W3CDTF">2022-09-20T16:37:54Z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