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27865"/>
      <w:bookmarkStart w:id="1" w:name="_Toc76683363"/>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2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津辰市监处罚〔2022〕163号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天津纯尔供应链有限公司</w:t>
      </w:r>
    </w:p>
    <w:p>
      <w:pPr>
        <w:spacing w:line="520" w:lineRule="exact"/>
        <w:ind w:left="140" w:hanging="140"/>
        <w:rPr>
          <w:rFonts w:hint="eastAsia"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主体资格证照名称：营业执照</w:t>
      </w:r>
    </w:p>
    <w:p>
      <w:pPr>
        <w:spacing w:line="520" w:lineRule="exact"/>
        <w:ind w:left="140" w:hanging="140"/>
        <w:rPr>
          <w:rFonts w:hint="eastAsia"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统一社会信用代码：91120113MA07BGRK28</w:t>
      </w:r>
    </w:p>
    <w:p>
      <w:pPr>
        <w:spacing w:line="520" w:lineRule="exact"/>
        <w:ind w:left="140" w:hanging="140"/>
        <w:rPr>
          <w:rFonts w:hint="eastAsia" w:ascii="Times New Roman" w:hAnsi="Times New Roman" w:eastAsia="仿宋_GB2312"/>
          <w:bCs/>
          <w:spacing w:val="-4"/>
          <w:kern w:val="32"/>
          <w:sz w:val="32"/>
          <w:szCs w:val="32"/>
          <w:u w:val="none"/>
        </w:rPr>
      </w:pPr>
      <w:r>
        <w:rPr>
          <w:rFonts w:hint="eastAsia" w:ascii="Times New Roman" w:hAnsi="Times New Roman" w:eastAsia="仿宋_GB2312"/>
          <w:bCs/>
          <w:spacing w:val="-4"/>
          <w:kern w:val="32"/>
          <w:sz w:val="32"/>
          <w:szCs w:val="32"/>
          <w:u w:val="none"/>
        </w:rPr>
        <w:t xml:space="preserve">住所：天津市北辰区青光镇腾兴道13号谷川高科22号楼2门 </w:t>
      </w:r>
    </w:p>
    <w:p>
      <w:pPr>
        <w:spacing w:line="520" w:lineRule="exact"/>
        <w:ind w:left="140" w:hanging="140"/>
        <w:rPr>
          <w:rFonts w:hint="eastAsia"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法定代表人：王江</w:t>
      </w:r>
    </w:p>
    <w:p>
      <w:pPr>
        <w:spacing w:line="520" w:lineRule="exact"/>
        <w:ind w:left="140" w:hanging="140"/>
        <w:rPr>
          <w:rFonts w:hint="eastAsia" w:ascii="Times New Roman" w:eastAsia="仿宋_GB2312"/>
          <w:b/>
          <w:strike/>
          <w:color w:val="231F20"/>
          <w:spacing w:val="-49"/>
          <w:u w:val="none"/>
          <w:lang w:eastAsia="zh-CN"/>
        </w:rPr>
      </w:pPr>
      <w:r>
        <w:rPr>
          <w:rFonts w:hint="eastAsia" w:ascii="Times New Roman" w:hAnsi="Times New Roman" w:eastAsia="仿宋_GB2312"/>
          <w:bCs/>
          <w:kern w:val="1"/>
          <w:sz w:val="32"/>
          <w:szCs w:val="32"/>
          <w:u w:val="none"/>
        </w:rPr>
        <w:t>身份证件号码：</w:t>
      </w:r>
      <w:r>
        <w:rPr>
          <w:rFonts w:hint="eastAsia" w:ascii="Times New Roman" w:hAnsi="Times New Roman" w:eastAsia="仿宋_GB2312"/>
          <w:bCs/>
          <w:kern w:val="1"/>
          <w:sz w:val="32"/>
          <w:szCs w:val="32"/>
          <w:u w:val="none"/>
          <w:lang w:val="en-US" w:eastAsia="zh-CN"/>
        </w:rPr>
        <w:t>\</w:t>
      </w: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3月25日，我局收到中国检验检疫科学研究院综合检测中心出具的编号为CAIQFSC22000393001的《检验报告》，报告显示，标称天津纯尔供应链有限公司2022年2月28日生产经营的冰鲜三文鱼鱼肉经抽样检验，菌落总数项目不符合GB 10136-2015《食品安全国家标准 动物性水产制品》要求，检验结论为不合格。收到中国检验检疫科学研究院综合检测中心出具的编号为CAIQFSC22000411002的《检验报告》，报告显示，标称天津纯尔供应链有限公司2022年3月1日生产经营的冰鲜三文鱼鱼腩经抽样检验，菌落总数、大肠菌群项目不符合GB 10136-2015《食品安全国家标准 动物性水产制品》要求，检验结论为不合格。同日，执法人员到天津纯尔供应链有限公司进行核查，经查，上述两批次检验不合格产品确为当事人生产经营，2022年2月28日批次的冰鲜三文鱼鱼肉共生产959盒，2022年3月1日批次的冰鲜三文鱼鱼腩共生产568盒，已全部售出，现场无库存，未实施行政强制措施。本案于2022年3月25日经局领导审批予以立案调查，2022年5月20日调查终结。</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经查，</w:t>
      </w:r>
      <w:r>
        <w:rPr>
          <w:rFonts w:hint="eastAsia" w:ascii="Times New Roman" w:eastAsia="仿宋_GB2312"/>
          <w:kern w:val="1"/>
          <w:u w:val="none"/>
        </w:rPr>
        <w:t>当事人2022年2月28日生产经营的冰鲜三文鱼鱼肉（规格：200g/盒，保质期：5天，生产日期2022/02/28，上市日期2022/03/01），经中国检验检疫科学研究院综合检测中心抽样检验，菌落总数项目不符合GB 10136-2015《食品安全国家标准 动物性水产制品》要求，检验结论为不合格。2022年3月1日生产经营的冰鲜三文鱼鱼腩（规格：200g/盒，保质期：5天，生产日期2022/03/01，上市日期2022/03/02），经中国检验检疫科学研究院综合检测中心抽样检验，菌落总数、大肠菌群项目不符合GB 10136-2015《食品安全国家标准 动物性水产制品》要求，检验结论为不合格。因检验结论为微生物指标不合格，不予受理复检，当事人对抽样过程、样品真实性、检验方法、判定依据等事项无异议。上述行为满足生产经营不符合食品安全标准的食品行为的构成要件。2022年2月28日批次的冰鲜三文鱼鱼肉产品共生产了959盒，其中销往北京盒马网络科技有限公司西直门分公司共70盒，该批次产品为网络抽检，无抽样基数，售价42.80元/盒，成本核算54.47元/盒。2022年3月1日批次的冰鲜三文鱼鱼腩产品共生产了568盒，其中销往北京盒马网络科技有限公司永定门外分公司16盒，该批次产品为现场抽检，抽样基数15盒，售价42.80元/盒。成本核算54.47元/盒。涉案批次产品共计85盒，货值金额共计3638元，无违法所得。</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1．当事人营业执照、食品生产许可证、食品生产许可品种明细表、法定代表人王江身份证复印件；</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2．《检验报告》（CAIQFSC22000393001）、《食品安全抽样检验结果通知书》（SC22110000001530808）、《食品安全抽样检验复检和异议须知》、《食品安全抽样检验抽样单》、《食品安全抽样检验告知书》；</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3．《检验报告》（CAIQFSC22000411002）、《食品安全抽样检验结果通知书》（SC22110000001530850）、《食品安全抽样检验复检和异议须知》、《食品安全抽样检验抽样单》、《食品安全抽样检验告知书》；</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4．2022年3月25日现场笔录、现场照片打印件；</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5．对法定代表人王江的询问笔录；</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6．20220228批次的冰鲜三文鱼鱼肉的过程控制记录文件复印件、20220301批次的冰鲜三文鱼鱼腩的过程控制记录文件复印件；</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7．20220228批次的冰鲜三文鱼鱼肉的出厂检验报告复印件、20220301批次的冰鲜三文鱼鱼腩的出厂检验报告复印件；</w:t>
      </w:r>
    </w:p>
    <w:p>
      <w:pPr>
        <w:pStyle w:val="2"/>
        <w:tabs>
          <w:tab w:val="left" w:pos="9060"/>
        </w:tabs>
        <w:spacing w:line="520" w:lineRule="exact"/>
        <w:ind w:firstLine="640" w:firstLineChars="200"/>
        <w:jc w:val="both"/>
        <w:rPr>
          <w:rFonts w:hint="eastAsia" w:ascii="Times New Roman" w:eastAsia="仿宋_GB2312"/>
          <w:color w:val="000000"/>
          <w:u w:val="none"/>
        </w:rPr>
      </w:pPr>
      <w:r>
        <w:rPr>
          <w:rFonts w:hint="eastAsia" w:ascii="Times New Roman" w:eastAsia="仿宋_GB2312"/>
          <w:color w:val="000000"/>
          <w:u w:val="none"/>
        </w:rPr>
        <w:t>8．20220228批次的冰鲜三文鱼鱼肉的产成品出入库台账、入库单、出库单、盒马冰鲜三文鱼门店订单复印件、20220301批次的冰鲜三文鱼鱼腩的产成品出入库台账、入库单、出库单、盒马冰鲜三文鱼门店订单复印件、当事人提供的成本核算表复印件、货值金额与违法所得计算表；</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9．当事人提供的产品召回公告、召回反馈说明复印件、召回现场照片打印件、关于冰鲜三文鱼抽检不合格的整改报告复印件。</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本局于2022年6月6日依法向当事人送达了《行政处罚告知书》（津辰市监罚告〔2022〕163号），当事人未提出陈述、申辩意见。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ascii="Times New Roman" w:eastAsia="仿宋_GB2312"/>
          <w:kern w:val="1"/>
          <w:u w:val="none"/>
        </w:rPr>
        <w:t>本局认为，当事人上述行为违反了</w:t>
      </w:r>
      <w:r>
        <w:rPr>
          <w:rFonts w:hint="eastAsia" w:ascii="Times New Roman" w:eastAsia="仿宋_GB2312"/>
          <w:kern w:val="1"/>
          <w:u w:val="none"/>
        </w:rPr>
        <w:t>《中华人民共和国食品安全法》第三十四条第十三项“禁止生产经营下列食品、食品添加剂、食品相关产品：（十三）其他不符合法律、法规或者食品安全标准的食品、食品添加剂、食品相关产品。”</w:t>
      </w:r>
      <w:r>
        <w:rPr>
          <w:rFonts w:ascii="Times New Roman" w:eastAsia="仿宋_GB2312"/>
          <w:kern w:val="1"/>
          <w:u w:val="none"/>
        </w:rPr>
        <w:t>的规定，应依据</w:t>
      </w:r>
      <w:r>
        <w:rPr>
          <w:rFonts w:hint="eastAsia" w:ascii="Times New Roman" w:eastAsia="仿宋_GB2312"/>
          <w:kern w:val="1"/>
          <w:u w:val="none"/>
        </w:rPr>
        <w:t>《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二款“除前款和本法第一百二十三条、第一百二十五条规定的情形外，生产经营不符合法律、法规或者食品安全标准的食品、食品添加剂的，依照前款规定给予处罚。”</w:t>
      </w:r>
      <w:r>
        <w:rPr>
          <w:rFonts w:ascii="Times New Roman" w:eastAsia="仿宋_GB2312"/>
          <w:kern w:val="1"/>
          <w:u w:val="none"/>
        </w:rPr>
        <w:t>的规定，对当事人给予行政处罚。</w:t>
      </w:r>
    </w:p>
    <w:p>
      <w:pPr>
        <w:pStyle w:val="2"/>
        <w:tabs>
          <w:tab w:val="left" w:pos="906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鉴于当事人同时有两批次产品分别经抽检不合格，两次实施同一违法行为，符合《天津市市场和质量监督管理委员会行政处罚裁量适用规则》第十四条第十二项的规定，对当事人给予从重处罚。</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kern w:val="1"/>
          <w:u w:val="none"/>
        </w:rPr>
        <w:t>综上，当事人上述行为违反了</w:t>
      </w:r>
      <w:r>
        <w:rPr>
          <w:rFonts w:hint="eastAsia" w:ascii="Times New Roman" w:eastAsia="仿宋_GB2312"/>
          <w:color w:val="000000"/>
          <w:u w:val="none"/>
        </w:rPr>
        <w:t>《中华人民共和国食品安全法》</w:t>
      </w:r>
      <w:r>
        <w:rPr>
          <w:rFonts w:hint="eastAsia" w:ascii="Times New Roman" w:eastAsia="仿宋_GB2312"/>
          <w:kern w:val="1"/>
          <w:u w:val="none"/>
        </w:rPr>
        <w:t>第三十四条第十三项</w:t>
      </w:r>
      <w:r>
        <w:rPr>
          <w:rFonts w:ascii="Times New Roman" w:eastAsia="仿宋_GB2312"/>
          <w:color w:val="000000"/>
          <w:u w:val="none"/>
        </w:rPr>
        <w:t>的规定，</w:t>
      </w:r>
      <w:r>
        <w:rPr>
          <w:rFonts w:ascii="Times New Roman" w:eastAsia="仿宋_GB2312"/>
          <w:kern w:val="1"/>
          <w:u w:val="none"/>
        </w:rPr>
        <w:t>依据</w:t>
      </w:r>
      <w:r>
        <w:rPr>
          <w:rFonts w:hint="eastAsia" w:ascii="Times New Roman" w:eastAsia="仿宋_GB2312"/>
          <w:kern w:val="1"/>
          <w:u w:val="none"/>
        </w:rPr>
        <w:t>《中华人民共和国食品安全法》第一百二十四条第一款、第二款</w:t>
      </w:r>
      <w:r>
        <w:rPr>
          <w:rFonts w:ascii="Times New Roman" w:eastAsia="仿宋_GB2312"/>
          <w:kern w:val="1"/>
          <w:u w:val="none"/>
        </w:rPr>
        <w:t>的规定，决定处罚如下：</w:t>
      </w:r>
    </w:p>
    <w:p>
      <w:pPr>
        <w:pStyle w:val="2"/>
        <w:tabs>
          <w:tab w:val="left" w:pos="8405"/>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罚款</w:t>
      </w:r>
      <w:r>
        <w:rPr>
          <w:rFonts w:ascii="Times New Roman" w:eastAsia="仿宋_GB2312"/>
          <w:kern w:val="1"/>
          <w:u w:val="none"/>
        </w:rPr>
        <w:t>85</w:t>
      </w:r>
      <w:r>
        <w:rPr>
          <w:rFonts w:hint="eastAsia" w:ascii="Times New Roman" w:eastAsia="仿宋_GB2312"/>
          <w:kern w:val="1"/>
          <w:u w:val="none"/>
        </w:rPr>
        <w:t>000元。</w:t>
      </w:r>
    </w:p>
    <w:p>
      <w:pPr>
        <w:pStyle w:val="2"/>
        <w:tabs>
          <w:tab w:val="left" w:pos="8405"/>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olor w:val="000000"/>
          <w:sz w:val="32"/>
          <w:szCs w:val="32"/>
          <w:u w:val="none"/>
        </w:rPr>
      </w:pPr>
    </w:p>
    <w:p>
      <w:pPr>
        <w:spacing w:line="52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r>
        <w:rPr>
          <w:rFonts w:ascii="Times New Roman" w:hAnsi="Times New Roman" w:eastAsia="仿宋_GB2312"/>
          <w:color w:val="000000"/>
          <w:sz w:val="32"/>
          <w:szCs w:val="32"/>
          <w:u w:val="none"/>
        </w:rPr>
        <w:t>天津市北辰区市场监督管理局</w:t>
      </w:r>
    </w:p>
    <w:p>
      <w:pPr>
        <w:spacing w:line="520" w:lineRule="exact"/>
        <w:jc w:val="both"/>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3" w:name="_GoBack"/>
      <w:bookmarkEnd w:id="3"/>
      <w:r>
        <w:rPr>
          <w:rFonts w:ascii="Times New Roman" w:hAnsi="Times New Roman" w:eastAsia="仿宋_GB2312"/>
          <w:color w:val="000000"/>
          <w:sz w:val="32"/>
          <w:szCs w:val="32"/>
          <w:u w:val="none"/>
        </w:rPr>
        <w:t>2022年6月14日</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hint="eastAsia"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67D81"/>
    <w:rsid w:val="000A309D"/>
    <w:rsid w:val="000D332B"/>
    <w:rsid w:val="000D3D4D"/>
    <w:rsid w:val="000F7B21"/>
    <w:rsid w:val="00101BE6"/>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B4946"/>
    <w:rsid w:val="002D198A"/>
    <w:rsid w:val="002D29F1"/>
    <w:rsid w:val="00303356"/>
    <w:rsid w:val="00333381"/>
    <w:rsid w:val="00391DC0"/>
    <w:rsid w:val="00392A60"/>
    <w:rsid w:val="003B472E"/>
    <w:rsid w:val="003D34E1"/>
    <w:rsid w:val="0044442E"/>
    <w:rsid w:val="0045573E"/>
    <w:rsid w:val="004D190E"/>
    <w:rsid w:val="004E1683"/>
    <w:rsid w:val="004F0418"/>
    <w:rsid w:val="004F4C72"/>
    <w:rsid w:val="004F711B"/>
    <w:rsid w:val="00510C2F"/>
    <w:rsid w:val="00530CC7"/>
    <w:rsid w:val="0053106D"/>
    <w:rsid w:val="005B5017"/>
    <w:rsid w:val="005B562B"/>
    <w:rsid w:val="005C021D"/>
    <w:rsid w:val="0060446F"/>
    <w:rsid w:val="00604DDE"/>
    <w:rsid w:val="00610AD2"/>
    <w:rsid w:val="00621473"/>
    <w:rsid w:val="00633A74"/>
    <w:rsid w:val="006A5D25"/>
    <w:rsid w:val="006C38A8"/>
    <w:rsid w:val="006F7DB1"/>
    <w:rsid w:val="007155A8"/>
    <w:rsid w:val="00741BF7"/>
    <w:rsid w:val="007459B9"/>
    <w:rsid w:val="00790247"/>
    <w:rsid w:val="00790F1B"/>
    <w:rsid w:val="007B2408"/>
    <w:rsid w:val="007C431D"/>
    <w:rsid w:val="00852D5A"/>
    <w:rsid w:val="008659C7"/>
    <w:rsid w:val="008C1251"/>
    <w:rsid w:val="008D76BE"/>
    <w:rsid w:val="008E3EBE"/>
    <w:rsid w:val="008E3FFA"/>
    <w:rsid w:val="008E7C6A"/>
    <w:rsid w:val="00903797"/>
    <w:rsid w:val="00924A76"/>
    <w:rsid w:val="009472D4"/>
    <w:rsid w:val="00950BB8"/>
    <w:rsid w:val="009579CE"/>
    <w:rsid w:val="0099338B"/>
    <w:rsid w:val="00997409"/>
    <w:rsid w:val="009B0D60"/>
    <w:rsid w:val="009D6E69"/>
    <w:rsid w:val="009E52CD"/>
    <w:rsid w:val="00A14864"/>
    <w:rsid w:val="00A54375"/>
    <w:rsid w:val="00A570BD"/>
    <w:rsid w:val="00A8788A"/>
    <w:rsid w:val="00AC116B"/>
    <w:rsid w:val="00AC601E"/>
    <w:rsid w:val="00AD30C8"/>
    <w:rsid w:val="00B048AD"/>
    <w:rsid w:val="00B77688"/>
    <w:rsid w:val="00B947CB"/>
    <w:rsid w:val="00BD650A"/>
    <w:rsid w:val="00C472AE"/>
    <w:rsid w:val="00C70280"/>
    <w:rsid w:val="00CA10EA"/>
    <w:rsid w:val="00CA11A7"/>
    <w:rsid w:val="00CA1A2A"/>
    <w:rsid w:val="00CA3857"/>
    <w:rsid w:val="00CC445B"/>
    <w:rsid w:val="00D34ADB"/>
    <w:rsid w:val="00D45EBA"/>
    <w:rsid w:val="00D626B2"/>
    <w:rsid w:val="00D77A56"/>
    <w:rsid w:val="00D90305"/>
    <w:rsid w:val="00DA7499"/>
    <w:rsid w:val="00DE569E"/>
    <w:rsid w:val="00E044E8"/>
    <w:rsid w:val="00E319D6"/>
    <w:rsid w:val="00E40FD2"/>
    <w:rsid w:val="00E4441A"/>
    <w:rsid w:val="00E56715"/>
    <w:rsid w:val="00E877C9"/>
    <w:rsid w:val="00EB456C"/>
    <w:rsid w:val="00EB7C2E"/>
    <w:rsid w:val="00EC4DFC"/>
    <w:rsid w:val="00EC77E0"/>
    <w:rsid w:val="00F01391"/>
    <w:rsid w:val="00F166B3"/>
    <w:rsid w:val="00F344BA"/>
    <w:rsid w:val="00F502AB"/>
    <w:rsid w:val="00F95B1D"/>
    <w:rsid w:val="00FB1DB9"/>
    <w:rsid w:val="00FB3EC6"/>
    <w:rsid w:val="00FD7FB1"/>
    <w:rsid w:val="00FF1B2E"/>
    <w:rsid w:val="3FF8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445</Words>
  <Characters>2538</Characters>
  <Lines>21</Lines>
  <Paragraphs>5</Paragraphs>
  <TotalTime>270</TotalTime>
  <ScaleCrop>false</ScaleCrop>
  <LinksUpToDate>false</LinksUpToDate>
  <CharactersWithSpaces>2978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2022-06-14T11:49:00Z</cp:lastPrinted>
  <dcterms:modified xsi:type="dcterms:W3CDTF">2022-06-14T16:07:19Z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