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256</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hAnsi="Mongolian Baiti" w:eastAsia="仿宋_GB2312" w:cs="Mongolian Baiti"/>
          <w:kern w:val="1"/>
          <w:sz w:val="32"/>
          <w:szCs w:val="32"/>
          <w:u w:val="none"/>
          <w:lang w:eastAsia="zh-CN"/>
        </w:rPr>
        <w:t>天津市北辰区孙东燕清真食品店（孙燕）</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92120113MA07E8GJ94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仿宋"/>
          <w:color w:val="000000"/>
          <w:sz w:val="32"/>
          <w:szCs w:val="32"/>
          <w:u w:val="none"/>
          <w:lang w:eastAsia="zh-CN"/>
        </w:rPr>
        <w:t>经营场所</w:t>
      </w:r>
      <w:r>
        <w:rPr>
          <w:rFonts w:hint="eastAsia" w:ascii="Times New Roman" w:hAnsi="Times New Roman" w:eastAsia="仿宋_GB2312" w:cs="仿宋"/>
          <w:sz w:val="32"/>
          <w:szCs w:val="32"/>
          <w:u w:val="none"/>
        </w:rPr>
        <w:t>：</w:t>
      </w:r>
      <w:r>
        <w:rPr>
          <w:rFonts w:hint="eastAsia" w:ascii="仿宋_GB2312" w:hAnsi="Mongolian Baiti" w:eastAsia="仿宋_GB2312" w:cs="Mongolian Baiti"/>
          <w:kern w:val="1"/>
          <w:sz w:val="32"/>
          <w:szCs w:val="32"/>
          <w:u w:val="none"/>
          <w:lang w:eastAsia="zh-CN"/>
        </w:rPr>
        <w:t>天津市北辰区普东街富善楼</w:t>
      </w:r>
      <w:r>
        <w:rPr>
          <w:rFonts w:hint="eastAsia" w:ascii="仿宋_GB2312" w:hAnsi="Mongolian Baiti" w:eastAsia="仿宋_GB2312" w:cs="Mongolian Baiti"/>
          <w:kern w:val="1"/>
          <w:sz w:val="32"/>
          <w:szCs w:val="32"/>
          <w:u w:val="none"/>
          <w:lang w:val="en-US" w:eastAsia="zh-CN"/>
        </w:rPr>
        <w:t>8栋1号</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经营者：</w:t>
      </w:r>
      <w:r>
        <w:rPr>
          <w:rFonts w:hint="eastAsia" w:ascii="仿宋_GB2312" w:hAnsi="Mongolian Baiti" w:eastAsia="仿宋_GB2312" w:cs="Mongolian Baiti"/>
          <w:kern w:val="1"/>
          <w:sz w:val="32"/>
          <w:szCs w:val="32"/>
          <w:u w:val="none"/>
          <w:lang w:eastAsia="zh-CN"/>
        </w:rPr>
        <w:t>孙燕</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Times New Roman" w:hAnsi="Times New Roman" w:eastAsia="仿宋_GB2312" w:cs="仿宋"/>
          <w:sz w:val="32"/>
          <w:szCs w:val="32"/>
          <w:u w:val="none"/>
          <w:lang w:val="en-US" w:eastAsia="zh-CN"/>
        </w:rPr>
        <w:t>2022年4月13日，我局执法人员收到天津市市场监督管理委员会下发的关于网络食品监管巡查情况的通报第五期（津市场监管食经便函〔2022〕33号）提供的线索，称当事人在网络平台售卖凉菜，但食品经营许可证中无冷食类食品制售许可范围。根据上级转办线索，2022年4月13日我局执法人员对当事人天津市北辰区孙东燕清真食品店（孙燕）进行检查，当事人能够提供食品经营许可证。现场检查中发现当事人在饿了么平台制售“拌干豆腐丝”凉菜，不在其许可范围内。现场未采取行政强制措施，当事人无陈述、申辩。同日执法人员报经局领导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Mongolian Baiti"/>
          <w:spacing w:val="-11"/>
          <w:sz w:val="32"/>
          <w:szCs w:val="32"/>
          <w:u w:val="none"/>
          <w:lang w:val="en-US" w:eastAsia="zh-CN"/>
        </w:rPr>
      </w:pPr>
      <w:r>
        <w:rPr>
          <w:rFonts w:hint="eastAsia" w:ascii="仿宋_GB2312" w:hAnsi="仿宋" w:eastAsia="仿宋_GB2312"/>
          <w:color w:val="000000"/>
          <w:sz w:val="32"/>
          <w:szCs w:val="32"/>
          <w:u w:val="none"/>
        </w:rPr>
        <w:t>当事人</w:t>
      </w:r>
      <w:r>
        <w:rPr>
          <w:rFonts w:hint="eastAsia" w:ascii="仿宋_GB2312" w:hAnsi="仿宋" w:eastAsia="仿宋_GB2312"/>
          <w:color w:val="000000"/>
          <w:sz w:val="32"/>
          <w:szCs w:val="32"/>
          <w:u w:val="none"/>
          <w:lang w:eastAsia="zh-CN"/>
        </w:rPr>
        <w:t>已</w:t>
      </w:r>
      <w:r>
        <w:rPr>
          <w:rFonts w:hint="eastAsia" w:ascii="仿宋_GB2312" w:hAnsi="仿宋" w:eastAsia="仿宋_GB2312"/>
          <w:color w:val="000000"/>
          <w:sz w:val="32"/>
          <w:szCs w:val="32"/>
          <w:u w:val="none"/>
        </w:rPr>
        <w:t>取得营业执照</w:t>
      </w:r>
      <w:r>
        <w:rPr>
          <w:rFonts w:hint="eastAsia" w:ascii="仿宋_GB2312" w:hAnsi="仿宋" w:eastAsia="仿宋_GB2312"/>
          <w:color w:val="000000"/>
          <w:sz w:val="32"/>
          <w:szCs w:val="32"/>
          <w:u w:val="none"/>
          <w:lang w:eastAsia="zh-CN"/>
        </w:rPr>
        <w:t>和</w:t>
      </w:r>
      <w:r>
        <w:rPr>
          <w:rFonts w:hint="eastAsia" w:ascii="仿宋_GB2312" w:hAnsi="仿宋" w:eastAsia="仿宋_GB2312"/>
          <w:color w:val="000000"/>
          <w:sz w:val="32"/>
          <w:szCs w:val="32"/>
          <w:u w:val="none"/>
        </w:rPr>
        <w:t>食品经营许可从事</w:t>
      </w:r>
      <w:r>
        <w:rPr>
          <w:rFonts w:hint="eastAsia" w:ascii="仿宋_GB2312" w:hAnsi="仿宋" w:eastAsia="仿宋_GB2312"/>
          <w:color w:val="000000"/>
          <w:sz w:val="32"/>
          <w:szCs w:val="32"/>
          <w:u w:val="none"/>
          <w:lang w:eastAsia="zh-CN"/>
        </w:rPr>
        <w:t>餐饮服务</w:t>
      </w:r>
      <w:r>
        <w:rPr>
          <w:rFonts w:hint="eastAsia" w:ascii="仿宋_GB2312" w:hAnsi="仿宋" w:eastAsia="仿宋_GB2312"/>
          <w:color w:val="000000"/>
          <w:sz w:val="32"/>
          <w:szCs w:val="32"/>
          <w:u w:val="none"/>
        </w:rPr>
        <w:t>经营</w:t>
      </w:r>
      <w:r>
        <w:rPr>
          <w:rFonts w:hint="eastAsia" w:ascii="仿宋_GB2312" w:hAnsi="仿宋" w:eastAsia="仿宋_GB2312"/>
          <w:color w:val="000000"/>
          <w:sz w:val="32"/>
          <w:szCs w:val="32"/>
          <w:u w:val="none"/>
          <w:lang w:eastAsia="zh-CN"/>
        </w:rPr>
        <w:t>活动</w:t>
      </w:r>
      <w:r>
        <w:rPr>
          <w:rFonts w:hint="eastAsia" w:ascii="仿宋_GB2312" w:hAnsi="仿宋" w:eastAsia="仿宋_GB2312"/>
          <w:color w:val="000000"/>
          <w:sz w:val="32"/>
          <w:szCs w:val="32"/>
          <w:u w:val="none"/>
        </w:rPr>
        <w:t>。</w:t>
      </w:r>
      <w:r>
        <w:rPr>
          <w:rFonts w:hint="eastAsia" w:ascii="Times New Roman" w:hAnsi="Times New Roman" w:eastAsia="仿宋_GB2312" w:cs="仿宋"/>
          <w:sz w:val="32"/>
          <w:szCs w:val="32"/>
          <w:u w:val="none"/>
          <w:lang w:val="en-US" w:eastAsia="zh-CN"/>
        </w:rPr>
        <w:t>许可证主体业态为餐饮服务经营者（含网络经营），经营项目为热食类食品制售。</w:t>
      </w:r>
      <w:r>
        <w:rPr>
          <w:rFonts w:hint="eastAsia" w:ascii="仿宋_GB2312" w:hAnsi="仿宋" w:eastAsia="仿宋_GB2312"/>
          <w:color w:val="000000"/>
          <w:sz w:val="32"/>
          <w:szCs w:val="32"/>
          <w:u w:val="none"/>
          <w:lang w:eastAsia="zh-CN"/>
        </w:rPr>
        <w:t>当事人</w:t>
      </w:r>
      <w:r>
        <w:rPr>
          <w:rFonts w:hint="eastAsia" w:ascii="Times New Roman" w:hAnsi="Times New Roman" w:eastAsia="仿宋_GB2312" w:cs="Mongolian Baiti"/>
          <w:spacing w:val="-11"/>
          <w:sz w:val="32"/>
          <w:szCs w:val="32"/>
          <w:u w:val="none"/>
          <w:lang w:val="en-US" w:eastAsia="zh-CN"/>
        </w:rPr>
        <w:t>于2022年2月底开始在经营项目不包含冷食类食品制售的情况下，在饿了么网络平台上制售</w:t>
      </w:r>
      <w:r>
        <w:rPr>
          <w:rFonts w:hint="eastAsia" w:ascii="Times New Roman" w:hAnsi="Times New Roman" w:eastAsia="仿宋_GB2312" w:cs="仿宋"/>
          <w:sz w:val="32"/>
          <w:szCs w:val="32"/>
          <w:u w:val="none"/>
          <w:lang w:val="en-US" w:eastAsia="zh-CN"/>
        </w:rPr>
        <w:t>“</w:t>
      </w:r>
      <w:r>
        <w:rPr>
          <w:rFonts w:hint="eastAsia" w:ascii="仿宋_GB2312" w:hAnsi="Mongolian Baiti" w:eastAsia="仿宋_GB2312" w:cs="Mongolian Baiti"/>
          <w:sz w:val="32"/>
          <w:szCs w:val="32"/>
          <w:u w:val="none"/>
          <w:lang w:eastAsia="zh-CN"/>
        </w:rPr>
        <w:t>拌干豆腐丝</w:t>
      </w:r>
      <w:r>
        <w:rPr>
          <w:rFonts w:hint="eastAsia" w:ascii="Times New Roman" w:hAnsi="Times New Roman" w:eastAsia="仿宋_GB2312" w:cs="仿宋"/>
          <w:sz w:val="32"/>
          <w:szCs w:val="32"/>
          <w:u w:val="none"/>
          <w:lang w:val="en-US" w:eastAsia="zh-CN"/>
        </w:rPr>
        <w:t>”凉菜，网络店铺名称为“四姐清真炖牛肉”，一直未办理许可事项变更登记。</w:t>
      </w:r>
      <w:r>
        <w:rPr>
          <w:rFonts w:hint="eastAsia" w:ascii="Times New Roman" w:hAnsi="Times New Roman" w:eastAsia="仿宋_GB2312" w:cs="Mongolian Baiti"/>
          <w:spacing w:val="-11"/>
          <w:sz w:val="32"/>
          <w:szCs w:val="32"/>
          <w:u w:val="none"/>
          <w:lang w:val="en-US" w:eastAsia="zh-CN"/>
        </w:rPr>
        <w:t>当事人上述行为满足超出许可的经营项目从事网上制售凉菜的构成要件。上述凉菜网上标示售价为5.8元/份，销售量为2份，当事人称每份利润为1元，本案货值金额11.6元，违法所得2元。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当事人的营业执照、食品经营许可证复印件、经营者</w:t>
      </w:r>
      <w:r>
        <w:rPr>
          <w:rFonts w:hint="eastAsia" w:ascii="仿宋_GB2312" w:hAnsi="仿宋" w:eastAsia="仿宋_GB2312"/>
          <w:sz w:val="32"/>
          <w:szCs w:val="32"/>
          <w:u w:val="none"/>
          <w:lang w:val="en-US" w:eastAsia="zh-CN"/>
        </w:rPr>
        <w:t>孙燕</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2022年4月13日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lang w:eastAsia="zh-CN"/>
        </w:rPr>
        <w:t>授权委托书，被委托人</w:t>
      </w:r>
      <w:r>
        <w:rPr>
          <w:rFonts w:hint="eastAsia" w:ascii="仿宋_GB2312" w:hAnsi="仿宋" w:eastAsia="仿宋_GB2312" w:cs="仿宋"/>
          <w:sz w:val="32"/>
          <w:szCs w:val="32"/>
          <w:u w:val="none"/>
          <w:lang w:eastAsia="zh-CN"/>
        </w:rPr>
        <w:t>张涪伦身份证复印件，</w:t>
      </w:r>
      <w:r>
        <w:rPr>
          <w:rFonts w:hint="eastAsia" w:ascii="仿宋_GB2312" w:eastAsia="仿宋_GB2312"/>
          <w:sz w:val="32"/>
          <w:szCs w:val="32"/>
          <w:u w:val="none"/>
        </w:rPr>
        <w:t>对</w:t>
      </w:r>
      <w:r>
        <w:rPr>
          <w:rFonts w:hint="eastAsia" w:ascii="仿宋_GB2312" w:eastAsia="仿宋_GB2312"/>
          <w:sz w:val="32"/>
          <w:szCs w:val="32"/>
          <w:u w:val="none"/>
          <w:lang w:eastAsia="zh-CN"/>
        </w:rPr>
        <w:t>被委托人</w:t>
      </w:r>
      <w:r>
        <w:rPr>
          <w:rFonts w:hint="eastAsia" w:ascii="仿宋_GB2312" w:hAnsi="仿宋" w:eastAsia="仿宋_GB2312" w:cs="仿宋"/>
          <w:sz w:val="32"/>
          <w:szCs w:val="32"/>
          <w:u w:val="none"/>
          <w:lang w:eastAsia="zh-CN"/>
        </w:rPr>
        <w:t>张涪伦</w:t>
      </w:r>
      <w:r>
        <w:rPr>
          <w:rFonts w:hint="eastAsia" w:ascii="仿宋_GB2312" w:eastAsia="仿宋_GB2312"/>
          <w:sz w:val="32"/>
          <w:szCs w:val="32"/>
          <w:u w:val="none"/>
        </w:rPr>
        <w:t>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lang w:eastAsia="zh-CN"/>
        </w:rPr>
        <w:t>本案</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5.第二次现场笔录（2022年4月19日）；6.</w:t>
      </w:r>
      <w:r>
        <w:rPr>
          <w:rFonts w:hint="eastAsia" w:ascii="仿宋_GB2312" w:eastAsia="仿宋_GB2312"/>
          <w:sz w:val="32"/>
          <w:szCs w:val="32"/>
        </w:rPr>
        <w:t>关于</w:t>
      </w:r>
      <w:r>
        <w:rPr>
          <w:rFonts w:ascii="仿宋_GB2312" w:eastAsia="仿宋_GB2312"/>
          <w:sz w:val="32"/>
          <w:szCs w:val="32"/>
        </w:rPr>
        <w:t>网络食品监管巡查情况的通报第</w:t>
      </w:r>
      <w:r>
        <w:rPr>
          <w:rFonts w:hint="eastAsia" w:ascii="仿宋_GB2312" w:eastAsia="仿宋_GB2312"/>
          <w:sz w:val="32"/>
          <w:szCs w:val="32"/>
          <w:lang w:eastAsia="zh-CN"/>
        </w:rPr>
        <w:t>五</w:t>
      </w:r>
      <w:r>
        <w:rPr>
          <w:rFonts w:ascii="仿宋_GB2312" w:eastAsia="仿宋_GB2312"/>
          <w:sz w:val="32"/>
          <w:szCs w:val="32"/>
        </w:rPr>
        <w:t>期</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4</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22</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256</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Times New Roman" w:hAnsi="Times New Roman" w:eastAsia="仿宋_GB2312" w:cs="仿宋_GB2312"/>
          <w:sz w:val="32"/>
          <w:szCs w:val="32"/>
        </w:rPr>
        <w:t>当事人上述行为违反了</w:t>
      </w:r>
      <w:r>
        <w:rPr>
          <w:rFonts w:hint="eastAsia" w:ascii="仿宋_GB2312" w:eastAsia="仿宋_GB2312"/>
          <w:sz w:val="32"/>
          <w:szCs w:val="32"/>
          <w:u w:val="none"/>
        </w:rPr>
        <w:t>《网络食品安全违法行为查处办法》第十六条</w:t>
      </w:r>
      <w:r>
        <w:rPr>
          <w:rFonts w:hint="eastAsia" w:ascii="仿宋_GB2312" w:eastAsia="仿宋_GB2312"/>
          <w:sz w:val="32"/>
          <w:szCs w:val="32"/>
          <w:u w:val="none"/>
          <w:lang w:eastAsia="zh-CN"/>
        </w:rPr>
        <w:t>第一款</w:t>
      </w:r>
      <w:r>
        <w:rPr>
          <w:rFonts w:hint="eastAsia" w:ascii="仿宋_GB2312" w:eastAsia="仿宋_GB2312"/>
          <w:sz w:val="32"/>
          <w:szCs w:val="32"/>
          <w:u w:val="none"/>
        </w:rPr>
        <w:t>“入网食品生产经营者应当依法取得许可，入网食品生产者应当按照许可的类别范围销售食品，入网食品经营者应当按照许可的经营项目范围从事食品经营。法律、法规规定不需要取得食品生产经营许可的除外。”的规定。</w:t>
      </w:r>
      <w:r>
        <w:rPr>
          <w:rFonts w:hint="eastAsia" w:ascii="仿宋_GB2312" w:hAnsi="仿宋" w:eastAsia="仿宋_GB2312"/>
          <w:sz w:val="32"/>
          <w:szCs w:val="32"/>
          <w:u w:val="none"/>
          <w:lang w:eastAsia="zh-CN"/>
        </w:rPr>
        <w:t>鉴于</w:t>
      </w:r>
      <w:r>
        <w:rPr>
          <w:rFonts w:hint="eastAsia" w:ascii="仿宋_GB2312" w:hAnsi="仿宋" w:eastAsia="仿宋_GB2312"/>
          <w:sz w:val="32"/>
          <w:szCs w:val="32"/>
          <w:u w:val="none"/>
        </w:rPr>
        <w:t>当事人在案发后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整改，配合案件调查，</w:t>
      </w:r>
      <w:r>
        <w:rPr>
          <w:rFonts w:hint="eastAsia" w:ascii="仿宋_GB2312" w:hAnsi="仿宋" w:eastAsia="仿宋_GB2312"/>
          <w:sz w:val="32"/>
          <w:szCs w:val="32"/>
          <w:u w:val="none"/>
          <w:lang w:eastAsia="zh-CN"/>
        </w:rPr>
        <w:t>符合</w:t>
      </w:r>
      <w:r>
        <w:rPr>
          <w:rFonts w:hint="eastAsia" w:ascii="仿宋_GB2312" w:hAnsi="仿宋" w:eastAsia="仿宋_GB2312"/>
          <w:sz w:val="32"/>
          <w:szCs w:val="32"/>
          <w:u w:val="none"/>
        </w:rPr>
        <w:t>《天津市市场和质量监督管理委员会行政处罚裁量适用规则》第十三条第五项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lang w:val="en-US"/>
        </w:rPr>
        <w:t>积极配合行政机关检查，如实提供有关账册、协议、单据、文件、记录、业务函件和其他资料以及积极改正违法行为的</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的规定</w:t>
      </w:r>
      <w:r>
        <w:rPr>
          <w:rFonts w:hint="eastAsia" w:ascii="仿宋_GB2312" w:hAnsi="仿宋" w:eastAsia="仿宋_GB2312"/>
          <w:sz w:val="32"/>
          <w:szCs w:val="32"/>
          <w:u w:val="none"/>
          <w:lang w:eastAsia="zh-CN"/>
        </w:rPr>
        <w:t>，应当</w:t>
      </w:r>
      <w:r>
        <w:rPr>
          <w:rFonts w:hint="eastAsia" w:ascii="仿宋_GB2312" w:hAnsi="仿宋" w:eastAsia="仿宋_GB2312"/>
          <w:sz w:val="32"/>
          <w:szCs w:val="32"/>
          <w:u w:val="none"/>
        </w:rPr>
        <w:t>予以减轻处罚。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仿宋_GB2312"/>
          <w:bCs/>
          <w:sz w:val="32"/>
          <w:szCs w:val="32"/>
          <w:u w:val="single"/>
        </w:rPr>
      </w:pPr>
      <w:r>
        <w:rPr>
          <w:rFonts w:hint="eastAsia" w:ascii="仿宋_GB2312" w:hAnsi="仿宋" w:eastAsia="仿宋_GB2312"/>
          <w:sz w:val="32"/>
          <w:szCs w:val="32"/>
          <w:u w:val="none"/>
        </w:rPr>
        <w:t>依据《网络食品安全违法行为查处办法》第三十八条“违反本办法第十六条规定，入网食品生产经营者未依法取得食品生产经营许可的，或者入网食品生产者超过许可的类别范围销售食品、入网食品经营者超过许可的经营项目范围从事食品经营的，依照</w:t>
      </w:r>
      <w:r>
        <w:rPr>
          <w:rFonts w:hint="eastAsia" w:ascii="仿宋_GB2312" w:hAnsi="仿宋" w:eastAsia="仿宋_GB2312"/>
          <w:sz w:val="32"/>
          <w:szCs w:val="32"/>
          <w:u w:val="none"/>
        </w:rPr>
        <w:fldChar w:fldCharType="begin"/>
      </w:r>
      <w:r>
        <w:rPr>
          <w:rFonts w:hint="eastAsia" w:ascii="仿宋_GB2312" w:hAnsi="仿宋" w:eastAsia="仿宋_GB2312"/>
          <w:sz w:val="32"/>
          <w:szCs w:val="32"/>
          <w:u w:val="none"/>
        </w:rPr>
        <w:instrText xml:space="preserve"> HYPERLINK "http://172.16.13.11:168/golaw?dbnm=gjfg&amp;flid=1116012019001164" \t "_blank" </w:instrText>
      </w:r>
      <w:r>
        <w:rPr>
          <w:rFonts w:hint="eastAsia" w:ascii="仿宋_GB2312" w:hAnsi="仿宋" w:eastAsia="仿宋_GB2312"/>
          <w:sz w:val="32"/>
          <w:szCs w:val="32"/>
          <w:u w:val="none"/>
        </w:rPr>
        <w:fldChar w:fldCharType="separate"/>
      </w:r>
      <w:r>
        <w:rPr>
          <w:rFonts w:hint="eastAsia" w:ascii="仿宋_GB2312" w:hAnsi="仿宋" w:eastAsia="仿宋_GB2312"/>
          <w:sz w:val="32"/>
          <w:szCs w:val="32"/>
          <w:u w:val="none"/>
        </w:rPr>
        <w:t>食品安全法</w:t>
      </w:r>
      <w:r>
        <w:rPr>
          <w:rFonts w:hint="eastAsia" w:ascii="仿宋_GB2312" w:hAnsi="仿宋" w:eastAsia="仿宋_GB2312"/>
          <w:sz w:val="32"/>
          <w:szCs w:val="32"/>
          <w:u w:val="none"/>
        </w:rPr>
        <w:fldChar w:fldCharType="end"/>
      </w:r>
      <w:r>
        <w:rPr>
          <w:rFonts w:hint="eastAsia" w:ascii="仿宋_GB2312" w:hAnsi="仿宋" w:eastAsia="仿宋_GB2312"/>
          <w:sz w:val="32"/>
          <w:szCs w:val="32"/>
          <w:u w:val="none"/>
        </w:rPr>
        <w:fldChar w:fldCharType="begin"/>
      </w:r>
      <w:r>
        <w:rPr>
          <w:rFonts w:hint="eastAsia" w:ascii="仿宋_GB2312" w:hAnsi="仿宋" w:eastAsia="仿宋_GB2312"/>
          <w:sz w:val="32"/>
          <w:szCs w:val="32"/>
          <w:u w:val="none"/>
        </w:rPr>
        <w:instrText xml:space="preserve"> HYPERLINK "http://172.16.13.11:168/golaw?dbnm=gjfg&amp;flid=1116012019001164&amp;lknm=%b5%da%d2%bb%b0%d9%b6%fe%ca%ae%b6%fe%cc%f5" \l "law_firsthit" \t "_blank" </w:instrText>
      </w:r>
      <w:r>
        <w:rPr>
          <w:rFonts w:hint="eastAsia" w:ascii="仿宋_GB2312" w:hAnsi="仿宋" w:eastAsia="仿宋_GB2312"/>
          <w:sz w:val="32"/>
          <w:szCs w:val="32"/>
          <w:u w:val="none"/>
        </w:rPr>
        <w:fldChar w:fldCharType="separate"/>
      </w:r>
      <w:r>
        <w:rPr>
          <w:rFonts w:hint="eastAsia" w:ascii="仿宋_GB2312" w:hAnsi="仿宋" w:eastAsia="仿宋_GB2312"/>
          <w:sz w:val="32"/>
          <w:szCs w:val="32"/>
          <w:u w:val="none"/>
        </w:rPr>
        <w:t>第一百二十二条</w:t>
      </w:r>
      <w:r>
        <w:rPr>
          <w:rFonts w:hint="eastAsia" w:ascii="仿宋_GB2312" w:hAnsi="仿宋" w:eastAsia="仿宋_GB2312"/>
          <w:sz w:val="32"/>
          <w:szCs w:val="32"/>
          <w:u w:val="none"/>
        </w:rPr>
        <w:fldChar w:fldCharType="end"/>
      </w:r>
      <w:r>
        <w:rPr>
          <w:rFonts w:hint="eastAsia" w:ascii="仿宋_GB2312" w:hAnsi="仿宋" w:eastAsia="仿宋_GB2312"/>
          <w:sz w:val="32"/>
          <w:szCs w:val="32"/>
          <w:u w:val="none"/>
        </w:rPr>
        <w:t>的规定处罚。”和《中华人民共和国食品安全法》第一百二十二条第一款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规定，对当事人给予行政处罚：</w:t>
      </w:r>
      <w:r>
        <w:rPr>
          <w:rFonts w:hint="eastAsia" w:ascii="仿宋_GB2312" w:hAnsi="仿宋" w:eastAsia="仿宋_GB2312"/>
          <w:sz w:val="32"/>
          <w:szCs w:val="32"/>
          <w:u w:val="none"/>
          <w:lang w:val="en-US" w:eastAsia="zh-CN"/>
        </w:rPr>
        <w:t>1.没收违法所得2元；2.</w:t>
      </w:r>
      <w:r>
        <w:rPr>
          <w:rFonts w:hint="eastAsia" w:ascii="仿宋_GB2312" w:hAnsi="仿宋" w:eastAsia="仿宋_GB2312"/>
          <w:sz w:val="32"/>
          <w:szCs w:val="32"/>
          <w:u w:val="none"/>
        </w:rPr>
        <w:t>罚款</w:t>
      </w:r>
      <w:r>
        <w:rPr>
          <w:rFonts w:hint="eastAsia" w:ascii="仿宋_GB2312" w:hAnsi="仿宋" w:eastAsia="仿宋_GB2312"/>
          <w:color w:val="000000"/>
          <w:sz w:val="32"/>
          <w:szCs w:val="32"/>
          <w:highlight w:val="none"/>
          <w:u w:val="none"/>
          <w:lang w:val="en-US" w:eastAsia="zh-CN"/>
        </w:rPr>
        <w:t>2000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5</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5</w:t>
      </w:r>
      <w:r>
        <w:rPr>
          <w:rFonts w:hint="eastAsia" w:ascii="Times New Roman" w:hAnsi="Times New Roman" w:eastAsia="仿宋_GB2312" w:cs="仿宋"/>
          <w:color w:val="000000"/>
          <w:sz w:val="32"/>
          <w:szCs w:val="32"/>
        </w:rPr>
        <w:t>日</w:t>
      </w:r>
      <w:bookmarkStart w:id="0" w:name="_GoBack"/>
      <w:bookmarkEnd w:id="0"/>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DgEPgDXAQAAjQMAAA4AAAAAAAAAAQAgAAAAPAEAAGRycy9lMm9Eb2MueG1sUEsFBgAAAAAG&#10;AAYAWQEAAIUFAAAAAA==&#10;">
                <v:fill on="f" focussize="0,0"/>
                <v:stroke weight="0.737007874015748pt" color="#000000" joinstyle="round" endcap="square"/>
                <v:imagedata o:title=""/>
                <o:lock v:ext="edit" aspectratio="f"/>
              </v:line>
            </w:pict>
          </mc:Fallback>
        </mc:AlternateConten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E5157D9"/>
    <w:rsid w:val="16512325"/>
    <w:rsid w:val="16A20938"/>
    <w:rsid w:val="187D7F30"/>
    <w:rsid w:val="1A523DD2"/>
    <w:rsid w:val="1AB309E6"/>
    <w:rsid w:val="24B661A2"/>
    <w:rsid w:val="2AB732D7"/>
    <w:rsid w:val="2FE74CDB"/>
    <w:rsid w:val="3405148E"/>
    <w:rsid w:val="35D46542"/>
    <w:rsid w:val="46816F58"/>
    <w:rsid w:val="4B2C50E5"/>
    <w:rsid w:val="4DC23B3D"/>
    <w:rsid w:val="550D4146"/>
    <w:rsid w:val="6BD5326F"/>
    <w:rsid w:val="74C27F52"/>
    <w:rsid w:val="755FAF77"/>
    <w:rsid w:val="765C0B4F"/>
    <w:rsid w:val="7C0A6A73"/>
    <w:rsid w:val="FCFC8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0</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2019-05-08T18:49:00Z</dcterms:created>
  <dc:creator>李光磊</dc:creator>
  <cp:lastModifiedBy>greatwall</cp:lastModifiedBy>
  <cp:lastPrinted>2020-07-23T00:58:00Z</cp:lastPrinted>
  <dcterms:modified xsi:type="dcterms:W3CDTF">2022-05-10T15:24:07Z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