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sz w:val="44"/>
          <w:szCs w:val="44"/>
        </w:rPr>
      </w:pPr>
      <w:bookmarkStart w:id="0" w:name="_Toc27865"/>
      <w:bookmarkStart w:id="1" w:name="_Toc76683363"/>
      <w:r>
        <w:rPr>
          <w:rFonts w:ascii="Times New Roman" w:hAnsi="Times New Roman" w:eastAsia="方正小标宋简体"/>
          <w:bCs/>
          <w:sz w:val="44"/>
          <w:szCs w:val="44"/>
        </w:rPr>
        <w:t>天津市北辰区市场监督管理局</w:t>
      </w:r>
      <w:bookmarkEnd w:id="0"/>
      <w:bookmarkEnd w:id="1"/>
    </w:p>
    <w:p>
      <w:pPr>
        <w:spacing w:line="560" w:lineRule="exact"/>
        <w:jc w:val="center"/>
        <w:rPr>
          <w:rFonts w:ascii="Times New Roman" w:hAnsi="Times New Roman" w:eastAsia="方正小标宋简体"/>
          <w:bCs/>
          <w:color w:val="000000"/>
          <w:sz w:val="44"/>
          <w:szCs w:val="44"/>
        </w:rPr>
      </w:pPr>
      <w:bookmarkStart w:id="2" w:name="_Toc76683364"/>
      <w:r>
        <w:rPr>
          <w:rFonts w:ascii="Times New Roman" w:hAnsi="Times New Roman" w:eastAsia="方正小标宋简体"/>
          <w:bCs/>
          <w:color w:val="000000"/>
          <w:sz w:val="44"/>
          <w:szCs w:val="44"/>
        </w:rPr>
        <w:t>行政处罚决定书</w:t>
      </w:r>
      <w:bookmarkEnd w:id="2"/>
    </w:p>
    <w:p>
      <w:pPr>
        <w:widowControl/>
        <w:snapToGrid w:val="0"/>
        <w:spacing w:line="560" w:lineRule="exact"/>
        <w:ind w:right="55"/>
        <w:jc w:val="center"/>
        <w:rPr>
          <w:rFonts w:ascii="Times New Roman" w:hAnsi="Times New Roman" w:eastAsia="仿宋_GB2312"/>
          <w:bCs/>
          <w:color w:val="000000"/>
          <w:sz w:val="32"/>
          <w:szCs w:val="32"/>
        </w:rPr>
      </w:pPr>
      <w:r>
        <w:rPr>
          <w:rFonts w:ascii="Times New Roman" w:hAnsi="Times New Roman" w:eastAsia="仿宋_GB2312"/>
          <w:bCs/>
          <w:color w:val="000000"/>
          <w:sz w:val="32"/>
          <w:szCs w:val="32"/>
        </w:rPr>
        <w:t>津辰市监处罚〔2022〕274号</w:t>
      </w:r>
    </w:p>
    <w:p>
      <w:pPr>
        <w:widowControl/>
        <w:snapToGrid w:val="0"/>
        <w:spacing w:line="520" w:lineRule="exact"/>
        <w:ind w:right="55" w:firstLine="5440" w:firstLineChars="1700"/>
        <w:rPr>
          <w:rFonts w:ascii="Times New Roman" w:hAnsi="Times New Roman" w:eastAsia="仿宋_GB2312"/>
          <w:color w:val="000000"/>
          <w:sz w:val="32"/>
          <w:szCs w:val="32"/>
        </w:rPr>
      </w:pPr>
      <w:r>
        <w:rPr>
          <w:rFonts w:ascii="Times New Roman" w:hAnsi="Times New Roman" w:eastAsia="仿宋_GB2312"/>
          <w:color w:val="000000"/>
          <w:sz w:val="32"/>
          <w:szCs w:val="32"/>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9525" r="17780" b="952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spacing w:line="520" w:lineRule="exact"/>
        <w:ind w:left="140" w:hanging="140"/>
        <w:rPr>
          <w:rFonts w:hint="eastAsia" w:ascii="Times New Roman" w:hAnsi="Times New Roman" w:eastAsia="仿宋_GB2312"/>
          <w:bCs/>
          <w:kern w:val="1"/>
          <w:sz w:val="32"/>
          <w:szCs w:val="32"/>
        </w:rPr>
      </w:pPr>
      <w:r>
        <w:rPr>
          <w:rFonts w:ascii="Times New Roman" w:hAnsi="Times New Roman" w:eastAsia="仿宋_GB2312"/>
          <w:bCs/>
          <w:kern w:val="1"/>
          <w:sz w:val="32"/>
          <w:szCs w:val="32"/>
        </w:rPr>
        <w:t>当事人：</w:t>
      </w:r>
      <w:r>
        <w:rPr>
          <w:rFonts w:hint="eastAsia" w:ascii="Times New Roman" w:hAnsi="Times New Roman" w:eastAsia="仿宋_GB2312"/>
          <w:bCs/>
          <w:kern w:val="1"/>
          <w:sz w:val="32"/>
          <w:szCs w:val="32"/>
        </w:rPr>
        <w:t xml:space="preserve">天津市北辰区万家乐便利店（宿振海） </w:t>
      </w:r>
    </w:p>
    <w:p>
      <w:pPr>
        <w:spacing w:line="520" w:lineRule="exact"/>
        <w:ind w:left="140" w:hanging="140"/>
        <w:rPr>
          <w:rFonts w:hint="eastAsia" w:ascii="Times New Roman" w:hAnsi="Times New Roman" w:eastAsia="仿宋_GB2312"/>
          <w:bCs/>
          <w:kern w:val="1"/>
          <w:sz w:val="32"/>
          <w:szCs w:val="32"/>
        </w:rPr>
      </w:pPr>
      <w:r>
        <w:rPr>
          <w:rFonts w:hint="eastAsia" w:ascii="Times New Roman" w:hAnsi="Times New Roman" w:eastAsia="仿宋_GB2312"/>
          <w:bCs/>
          <w:kern w:val="1"/>
          <w:sz w:val="32"/>
          <w:szCs w:val="32"/>
        </w:rPr>
        <w:t>主体资格证照名称：营业执照</w:t>
      </w:r>
    </w:p>
    <w:p>
      <w:pPr>
        <w:spacing w:line="520" w:lineRule="exact"/>
        <w:ind w:left="140" w:hanging="140"/>
        <w:rPr>
          <w:rFonts w:hint="eastAsia" w:ascii="Times New Roman" w:hAnsi="Times New Roman" w:eastAsia="仿宋_GB2312"/>
          <w:bCs/>
          <w:kern w:val="1"/>
          <w:sz w:val="32"/>
          <w:szCs w:val="32"/>
        </w:rPr>
      </w:pPr>
      <w:r>
        <w:rPr>
          <w:rFonts w:hint="eastAsia" w:ascii="Times New Roman" w:hAnsi="Times New Roman" w:eastAsia="仿宋_GB2312"/>
          <w:bCs/>
          <w:kern w:val="1"/>
          <w:sz w:val="32"/>
          <w:szCs w:val="32"/>
        </w:rPr>
        <w:t>统一社会信用代码：92120113MA06LC2U8K</w:t>
      </w:r>
    </w:p>
    <w:p>
      <w:pPr>
        <w:spacing w:line="520" w:lineRule="exact"/>
        <w:ind w:left="1600" w:hanging="1600" w:hangingChars="500"/>
        <w:rPr>
          <w:rFonts w:hint="eastAsia" w:ascii="Times New Roman" w:hAnsi="Times New Roman" w:eastAsia="仿宋_GB2312"/>
          <w:bCs/>
          <w:kern w:val="1"/>
          <w:sz w:val="32"/>
          <w:szCs w:val="32"/>
        </w:rPr>
      </w:pPr>
      <w:r>
        <w:rPr>
          <w:rFonts w:hint="eastAsia" w:ascii="Times New Roman" w:hAnsi="Times New Roman" w:eastAsia="仿宋_GB2312"/>
          <w:bCs/>
          <w:kern w:val="1"/>
          <w:sz w:val="32"/>
          <w:szCs w:val="32"/>
        </w:rPr>
        <w:t xml:space="preserve">经营场所：天津市北辰区青光镇韩家墅村北韩公路东侧（卫生院南） </w:t>
      </w:r>
    </w:p>
    <w:p>
      <w:pPr>
        <w:spacing w:line="520" w:lineRule="exact"/>
        <w:ind w:left="140" w:hanging="140"/>
        <w:rPr>
          <w:rFonts w:hint="eastAsia" w:ascii="Times New Roman" w:hAnsi="Times New Roman" w:eastAsia="仿宋_GB2312"/>
          <w:bCs/>
          <w:kern w:val="1"/>
          <w:sz w:val="32"/>
          <w:szCs w:val="32"/>
        </w:rPr>
      </w:pPr>
      <w:r>
        <w:rPr>
          <w:rFonts w:hint="eastAsia" w:ascii="Times New Roman" w:hAnsi="Times New Roman" w:eastAsia="仿宋_GB2312"/>
          <w:bCs/>
          <w:kern w:val="1"/>
          <w:sz w:val="32"/>
          <w:szCs w:val="32"/>
        </w:rPr>
        <w:t>经营者：宿振海</w:t>
      </w:r>
    </w:p>
    <w:p>
      <w:pPr>
        <w:spacing w:line="520" w:lineRule="exact"/>
        <w:ind w:left="140" w:hanging="140"/>
        <w:rPr>
          <w:rFonts w:hint="eastAsia" w:ascii="Times New Roman" w:eastAsia="仿宋_GB2312"/>
          <w:b/>
          <w:strike/>
          <w:color w:val="231F20"/>
          <w:spacing w:val="-49"/>
          <w:lang w:eastAsia="zh-CN"/>
        </w:rPr>
      </w:pPr>
      <w:r>
        <w:rPr>
          <w:rFonts w:hint="eastAsia" w:ascii="Times New Roman" w:hAnsi="Times New Roman" w:eastAsia="仿宋_GB2312"/>
          <w:bCs/>
          <w:kern w:val="1"/>
          <w:sz w:val="32"/>
          <w:szCs w:val="32"/>
        </w:rPr>
        <w:t>身份证件号码：</w:t>
      </w:r>
      <w:r>
        <w:rPr>
          <w:rFonts w:hint="eastAsia" w:ascii="Times New Roman" w:hAnsi="Times New Roman" w:eastAsia="仿宋_GB2312"/>
          <w:bCs/>
          <w:kern w:val="1"/>
          <w:sz w:val="32"/>
          <w:szCs w:val="32"/>
          <w:lang w:val="en-US" w:eastAsia="zh-CN"/>
        </w:rPr>
        <w:t>\</w:t>
      </w:r>
    </w:p>
    <w:p>
      <w:pPr>
        <w:pStyle w:val="2"/>
        <w:tabs>
          <w:tab w:val="left" w:pos="8240"/>
        </w:tabs>
        <w:spacing w:line="520" w:lineRule="exact"/>
        <w:ind w:firstLine="640" w:firstLineChars="200"/>
        <w:jc w:val="both"/>
        <w:rPr>
          <w:rFonts w:ascii="Times New Roman" w:eastAsia="仿宋_GB2312"/>
          <w:kern w:val="1"/>
        </w:rPr>
      </w:pPr>
      <w:r>
        <w:rPr>
          <w:rFonts w:hint="eastAsia" w:ascii="Times New Roman" w:eastAsia="仿宋_GB2312"/>
          <w:kern w:val="1"/>
        </w:rPr>
        <w:t>2022年4月22日，执法人员接到投诉人反映，称在天津市北辰区万家乐便利店购买到过期食品，要求相关部门核实处理。2022年4月24日，执法人员根据投诉对天津市北辰区万家乐便利店进行现场检查，在其货架上发现在售的武汉黑鸭腐竹（净含量：18g，生产商：湖北管吃家食品股份有限公司，生产日期2021/06/22，保质期：9个月）10袋、牛班长牛蹄筋烧烤味（净含量：35g，生产者名称：磐石市众合食品有限公司，生产日期2021/07/16，保质期：9个月）3袋、牛班长牛蹄筋香辣味（净含量：35g，生产者名称：磐石市众合食品有限公司，生产日期2021/07/15，保质期：9个月）3袋，截至检查时上述产品已过期。执法人员于2022年4月24日经局领导审批下达《实施行政强制措施决定书》（津辰市监青光强制〔2022〕113号），对上述产品实施扣押行政强制措施。本案于2022年4月24日经局领导审批予以立案调查，2022年5月7日调查终结。</w:t>
      </w:r>
    </w:p>
    <w:p>
      <w:pPr>
        <w:pStyle w:val="2"/>
        <w:tabs>
          <w:tab w:val="left" w:pos="8240"/>
        </w:tabs>
        <w:spacing w:line="520" w:lineRule="exact"/>
        <w:ind w:firstLine="640" w:firstLineChars="200"/>
        <w:jc w:val="both"/>
        <w:rPr>
          <w:rFonts w:ascii="Times New Roman" w:eastAsia="仿宋_GB2312"/>
          <w:kern w:val="1"/>
        </w:rPr>
      </w:pPr>
      <w:r>
        <w:rPr>
          <w:rFonts w:ascii="Times New Roman" w:eastAsia="仿宋_GB2312"/>
          <w:kern w:val="1"/>
        </w:rPr>
        <w:t>经查，</w:t>
      </w:r>
      <w:r>
        <w:rPr>
          <w:rFonts w:hint="eastAsia" w:ascii="Times New Roman" w:eastAsia="仿宋_GB2312"/>
          <w:kern w:val="1"/>
        </w:rPr>
        <w:t>当事人于2021年10月8日从天津市北辰区吉顺源食品批发部购进武汉黑鸭腐竹（生产日期2021/06/22，保质期：9个月）1盒共30袋，进价21元/盒，折合0.7元/袋，牛班长牛蹄筋烧烤味（生产日期2021/07/16，保质期：9个月）1盒共25袋，进价62元/盒，折合2.48元/袋，牛班长牛蹄筋香辣味（生产日期2021/07/15，保质期：9个月）1盒共25袋，进价62元/盒，折合2.48元/袋。截至2022年4月24日执法人员现场检查时上述产品已过期，仍有武汉黑鸭腐竹10袋、牛班长牛蹄筋烧烤味3袋、牛班长牛蹄筋香辣味3袋在架销售。上述行为满足经营超过保质期的食品行为的构成要件。涉案批次产品武汉黑鸭腐竹（生产日期2021/06/22，保质期：9个月）10袋、牛班长牛蹄筋烧烤味（生产日期2021/07/16，保质期：9个月）3袋、牛班长牛蹄筋香辣味（生产日期2021/07/15，保质期：9个月）3袋，产品过期后武汉黑鸭腐竹销售过3袋，售价1元/袋，牛班长牛蹄筋香辣味销售过2袋，售价3元/袋。本案货值金额共计37元，违法所得1.94元。</w:t>
      </w:r>
    </w:p>
    <w:p>
      <w:pPr>
        <w:pStyle w:val="2"/>
        <w:tabs>
          <w:tab w:val="left" w:pos="8240"/>
        </w:tabs>
        <w:spacing w:line="520" w:lineRule="exact"/>
        <w:ind w:firstLine="640" w:firstLineChars="200"/>
        <w:jc w:val="both"/>
        <w:rPr>
          <w:rFonts w:ascii="Times New Roman" w:eastAsia="仿宋_GB2312"/>
          <w:kern w:val="1"/>
        </w:rPr>
      </w:pPr>
      <w:r>
        <w:rPr>
          <w:rFonts w:ascii="Times New Roman" w:eastAsia="仿宋_GB2312"/>
          <w:kern w:val="1"/>
        </w:rPr>
        <w:t>上述事实，主要有以下证据证明：</w:t>
      </w:r>
    </w:p>
    <w:p>
      <w:pPr>
        <w:pStyle w:val="2"/>
        <w:tabs>
          <w:tab w:val="left" w:pos="9060"/>
        </w:tabs>
        <w:spacing w:line="520" w:lineRule="exact"/>
        <w:ind w:firstLine="640" w:firstLineChars="200"/>
        <w:rPr>
          <w:rFonts w:hint="eastAsia" w:ascii="Times New Roman" w:eastAsia="仿宋_GB2312"/>
          <w:color w:val="000000"/>
        </w:rPr>
      </w:pPr>
      <w:r>
        <w:rPr>
          <w:rFonts w:hint="eastAsia" w:ascii="Times New Roman" w:eastAsia="仿宋_GB2312"/>
          <w:color w:val="000000"/>
        </w:rPr>
        <w:t>1．当事人的营业执照、食品经营许可证复印件、经营者宿振海身份证复印件；</w:t>
      </w:r>
    </w:p>
    <w:p>
      <w:pPr>
        <w:pStyle w:val="2"/>
        <w:tabs>
          <w:tab w:val="left" w:pos="9060"/>
        </w:tabs>
        <w:spacing w:line="520" w:lineRule="exact"/>
        <w:ind w:firstLine="640" w:firstLineChars="200"/>
        <w:rPr>
          <w:rFonts w:hint="eastAsia" w:ascii="Times New Roman" w:eastAsia="仿宋_GB2312"/>
          <w:color w:val="000000"/>
        </w:rPr>
      </w:pPr>
      <w:r>
        <w:rPr>
          <w:rFonts w:hint="eastAsia" w:ascii="Times New Roman" w:eastAsia="仿宋_GB2312"/>
          <w:color w:val="000000"/>
        </w:rPr>
        <w:t>2．2022年4月24日现场笔录、现场照片打印件；</w:t>
      </w:r>
    </w:p>
    <w:p>
      <w:pPr>
        <w:pStyle w:val="2"/>
        <w:tabs>
          <w:tab w:val="left" w:pos="9060"/>
        </w:tabs>
        <w:spacing w:line="520" w:lineRule="exact"/>
        <w:ind w:firstLine="640" w:firstLineChars="200"/>
        <w:rPr>
          <w:rFonts w:hint="eastAsia" w:ascii="Times New Roman" w:eastAsia="仿宋_GB2312"/>
          <w:color w:val="000000"/>
        </w:rPr>
      </w:pPr>
      <w:r>
        <w:rPr>
          <w:rFonts w:hint="eastAsia" w:ascii="Times New Roman" w:eastAsia="仿宋_GB2312"/>
          <w:color w:val="000000"/>
        </w:rPr>
        <w:t>3．对经营者宿振海的询问笔录；</w:t>
      </w:r>
    </w:p>
    <w:p>
      <w:pPr>
        <w:pStyle w:val="2"/>
        <w:tabs>
          <w:tab w:val="left" w:pos="9060"/>
        </w:tabs>
        <w:spacing w:line="520" w:lineRule="exact"/>
        <w:ind w:firstLine="640" w:firstLineChars="200"/>
        <w:rPr>
          <w:rFonts w:hint="eastAsia" w:ascii="Times New Roman" w:eastAsia="仿宋_GB2312"/>
          <w:color w:val="000000"/>
        </w:rPr>
      </w:pPr>
      <w:r>
        <w:rPr>
          <w:rFonts w:hint="eastAsia" w:ascii="Times New Roman" w:eastAsia="仿宋_GB2312"/>
          <w:color w:val="000000"/>
        </w:rPr>
        <w:t>4．当事人提交的天津市北辰区吉顺源食品批发部的营业执照、食品经营许可证、销售单复印件；</w:t>
      </w:r>
    </w:p>
    <w:p>
      <w:pPr>
        <w:pStyle w:val="2"/>
        <w:tabs>
          <w:tab w:val="left" w:pos="9060"/>
        </w:tabs>
        <w:spacing w:line="520" w:lineRule="exact"/>
        <w:ind w:firstLine="640" w:firstLineChars="200"/>
        <w:jc w:val="both"/>
        <w:rPr>
          <w:rFonts w:ascii="Times New Roman" w:eastAsia="仿宋_GB2312"/>
          <w:color w:val="000000"/>
        </w:rPr>
      </w:pPr>
      <w:r>
        <w:rPr>
          <w:rFonts w:hint="eastAsia" w:ascii="Times New Roman" w:eastAsia="仿宋_GB2312"/>
          <w:color w:val="000000"/>
        </w:rPr>
        <w:t>5．货值金额与违法所得计算表。</w:t>
      </w:r>
    </w:p>
    <w:p>
      <w:pPr>
        <w:pStyle w:val="2"/>
        <w:tabs>
          <w:tab w:val="left" w:pos="9060"/>
        </w:tabs>
        <w:spacing w:line="520" w:lineRule="exact"/>
        <w:ind w:firstLine="640" w:firstLineChars="200"/>
        <w:jc w:val="both"/>
        <w:rPr>
          <w:rFonts w:ascii="Times New Roman" w:eastAsia="仿宋_GB2312"/>
          <w:color w:val="000000"/>
        </w:rPr>
      </w:pPr>
      <w:r>
        <w:rPr>
          <w:rFonts w:ascii="Times New Roman" w:eastAsia="仿宋_GB2312"/>
          <w:color w:val="000000"/>
        </w:rPr>
        <w:t>本局于2022年5月12日依法向当事人送达了《行政处罚告知书》（津辰市监罚告〔2022〕274号），当事人未提出陈述、申辩意见。</w:t>
      </w:r>
    </w:p>
    <w:p>
      <w:pPr>
        <w:pStyle w:val="2"/>
        <w:tabs>
          <w:tab w:val="left" w:pos="8405"/>
        </w:tabs>
        <w:spacing w:line="520" w:lineRule="exact"/>
        <w:ind w:firstLine="627" w:firstLineChars="196"/>
        <w:jc w:val="both"/>
        <w:rPr>
          <w:rFonts w:ascii="Times New Roman" w:eastAsia="仿宋_GB2312"/>
          <w:kern w:val="1"/>
        </w:rPr>
      </w:pPr>
      <w:r>
        <w:rPr>
          <w:rFonts w:ascii="Times New Roman" w:eastAsia="仿宋_GB2312"/>
          <w:kern w:val="1"/>
        </w:rPr>
        <w:t>本局认为，当事人上述行为违反了《中华人民共和国食品安全法》第三十四条第十项“禁止生产经营下列食品、食品添加剂、食品相关产品：（十）标注虚假生产日期、保质期或者超过保质期的食品、食品添加剂；”的规定，应依据《中华人民共和国食品安全法》第一百二十四条第一款第五项“违反本法规定， 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五）生产经营标注虚假生产日期、保质期或者超过保质期的食品、食品添加剂。”的规定，对当事人给予行政处罚。</w:t>
      </w:r>
    </w:p>
    <w:p>
      <w:pPr>
        <w:pStyle w:val="2"/>
        <w:tabs>
          <w:tab w:val="left" w:pos="9060"/>
        </w:tabs>
        <w:spacing w:line="520" w:lineRule="exact"/>
        <w:ind w:firstLine="640" w:firstLineChars="200"/>
        <w:jc w:val="both"/>
        <w:rPr>
          <w:rFonts w:ascii="Times New Roman" w:eastAsia="仿宋_GB2312"/>
          <w:kern w:val="1"/>
        </w:rPr>
      </w:pPr>
      <w:r>
        <w:rPr>
          <w:rFonts w:hint="eastAsia" w:ascii="Times New Roman" w:eastAsia="仿宋_GB2312"/>
          <w:kern w:val="1"/>
        </w:rPr>
        <w:t>本局认为，鉴于当事人在案发后积极配合案件调查，如实陈述违法事实，全面排查积极整改，符合《天津市市场和质量监督管理委员会行政处罚裁量适用规则》第十三条第五项“当事人有下列情形之一的，应当依法从轻或者减轻行政处罚：（五）积极配合行政机关检查，如实提供有关账册、协议、单据、文件、记录、业务函件和其他资料以及积极改正违法行为的；”的规定，对当事人予以减轻处罚。</w:t>
      </w:r>
    </w:p>
    <w:p>
      <w:pPr>
        <w:pStyle w:val="2"/>
        <w:tabs>
          <w:tab w:val="left" w:pos="9060"/>
        </w:tabs>
        <w:spacing w:line="520" w:lineRule="exact"/>
        <w:ind w:firstLine="640" w:firstLineChars="200"/>
        <w:jc w:val="both"/>
        <w:rPr>
          <w:rFonts w:ascii="Times New Roman" w:eastAsia="仿宋_GB2312"/>
          <w:color w:val="000000"/>
          <w:u w:val="single"/>
        </w:rPr>
      </w:pPr>
      <w:r>
        <w:rPr>
          <w:rFonts w:ascii="Times New Roman" w:eastAsia="仿宋_GB2312"/>
          <w:kern w:val="1"/>
        </w:rPr>
        <w:t>综上，当事人上述行为违反了</w:t>
      </w:r>
      <w:r>
        <w:rPr>
          <w:rFonts w:ascii="Times New Roman" w:eastAsia="仿宋_GB2312"/>
          <w:color w:val="000000"/>
        </w:rPr>
        <w:t>《中华人民共和国食品安全法》第三十四条第十项的规定，</w:t>
      </w:r>
      <w:r>
        <w:rPr>
          <w:rFonts w:ascii="Times New Roman" w:eastAsia="仿宋_GB2312"/>
          <w:kern w:val="1"/>
        </w:rPr>
        <w:t>依据《中华人民共和国食品安全法》第一百二十四条第一款第五项的规定，决定处罚如下：</w:t>
      </w:r>
    </w:p>
    <w:p>
      <w:pPr>
        <w:pStyle w:val="2"/>
        <w:tabs>
          <w:tab w:val="left" w:pos="8405"/>
        </w:tabs>
        <w:spacing w:line="520" w:lineRule="exact"/>
        <w:ind w:firstLine="640" w:firstLineChars="200"/>
        <w:jc w:val="both"/>
        <w:rPr>
          <w:rFonts w:hint="eastAsia" w:ascii="Times New Roman" w:eastAsia="仿宋_GB2312"/>
          <w:kern w:val="1"/>
        </w:rPr>
      </w:pPr>
      <w:r>
        <w:rPr>
          <w:rFonts w:hint="eastAsia" w:ascii="Times New Roman" w:eastAsia="仿宋_GB2312"/>
          <w:kern w:val="1"/>
        </w:rPr>
        <w:t>1．没收超过保质期的武汉黑鸭腐竹（生产日期2021/06/22，保质期：9个月）10袋、牛班长牛蹄筋烧烤味（生产日期2021/07/16，保质期：9个月）3袋、牛班长牛蹄筋香辣味（生产日期2021/07/15，保质期：9个月）3袋；</w:t>
      </w:r>
    </w:p>
    <w:p>
      <w:pPr>
        <w:pStyle w:val="2"/>
        <w:tabs>
          <w:tab w:val="left" w:pos="8405"/>
        </w:tabs>
        <w:spacing w:line="520" w:lineRule="exact"/>
        <w:ind w:firstLine="640" w:firstLineChars="200"/>
        <w:rPr>
          <w:rFonts w:hint="eastAsia" w:ascii="Times New Roman" w:eastAsia="仿宋_GB2312"/>
          <w:kern w:val="1"/>
        </w:rPr>
      </w:pPr>
      <w:r>
        <w:rPr>
          <w:rFonts w:hint="eastAsia" w:ascii="Times New Roman" w:eastAsia="仿宋_GB2312"/>
          <w:kern w:val="1"/>
        </w:rPr>
        <w:t>2．没收违法所得1.94元；</w:t>
      </w:r>
    </w:p>
    <w:p>
      <w:pPr>
        <w:pStyle w:val="2"/>
        <w:tabs>
          <w:tab w:val="left" w:pos="8405"/>
        </w:tabs>
        <w:spacing w:line="520" w:lineRule="exact"/>
        <w:ind w:firstLine="640" w:firstLineChars="200"/>
        <w:jc w:val="both"/>
        <w:rPr>
          <w:rFonts w:ascii="Times New Roman" w:eastAsia="仿宋_GB2312"/>
          <w:kern w:val="1"/>
        </w:rPr>
      </w:pPr>
      <w:r>
        <w:rPr>
          <w:rFonts w:hint="eastAsia" w:ascii="Times New Roman" w:eastAsia="仿宋_GB2312"/>
          <w:kern w:val="1"/>
        </w:rPr>
        <w:t>3．罚款2000元。</w:t>
      </w:r>
    </w:p>
    <w:p>
      <w:pPr>
        <w:pStyle w:val="2"/>
        <w:tabs>
          <w:tab w:val="left" w:pos="8405"/>
        </w:tabs>
        <w:spacing w:line="520" w:lineRule="exact"/>
        <w:ind w:firstLine="640" w:firstLineChars="200"/>
        <w:jc w:val="both"/>
        <w:rPr>
          <w:rFonts w:ascii="Times New Roman" w:eastAsia="仿宋_GB2312"/>
          <w:color w:val="000000"/>
        </w:rPr>
      </w:pPr>
      <w:r>
        <w:rPr>
          <w:rFonts w:ascii="Times New Roman" w:eastAsia="仿宋_GB2312"/>
          <w:color w:val="000000"/>
        </w:rPr>
        <w:t>当事人应当自收到本行政处罚决定书之日起十五日内，将罚没款缴至中国工商银行天津市分行、中国银行天津市分行、中国建设银行天津市分行、天津银行、中国光大银行天津分行、浙商银行天津分行等市财政指定非税收入收缴银行对公网点。到期不缴纳罚款的，依据《中华人民共和国行政处罚法》第五十一条的规定，本局将每日按罚款数额的百分之三加处罚款，并依法申请人民法院强制执行。</w:t>
      </w:r>
    </w:p>
    <w:p>
      <w:pPr>
        <w:pStyle w:val="2"/>
        <w:tabs>
          <w:tab w:val="left" w:pos="9060"/>
        </w:tabs>
        <w:spacing w:line="520" w:lineRule="exact"/>
        <w:ind w:firstLine="627" w:firstLineChars="196"/>
        <w:jc w:val="both"/>
        <w:rPr>
          <w:rFonts w:ascii="Times New Roman" w:eastAsia="仿宋_GB2312"/>
          <w:color w:val="000000"/>
        </w:rPr>
      </w:pPr>
      <w:r>
        <w:rPr>
          <w:rFonts w:ascii="Times New Roman" w:eastAsia="仿宋_GB2312"/>
          <w:color w:val="000000"/>
        </w:rPr>
        <w:t>如你（单位）不服本行政处罚决定，可以在收到本行政处罚决定书之日起六十日内向天津市北辰区人民政府申请行政复议；也可以在六个月内依法向天津市北辰区人民法院提起行政诉讼。申请行政复议或者提起行政诉讼期间，行政处罚不停止执行。</w:t>
      </w:r>
    </w:p>
    <w:p>
      <w:pPr>
        <w:pStyle w:val="2"/>
        <w:tabs>
          <w:tab w:val="left" w:pos="9060"/>
        </w:tabs>
        <w:spacing w:line="200" w:lineRule="exact"/>
        <w:ind w:firstLine="627" w:firstLineChars="196"/>
        <w:jc w:val="both"/>
        <w:rPr>
          <w:rFonts w:hint="eastAsia" w:ascii="Times New Roman" w:eastAsia="仿宋_GB2312"/>
          <w:color w:val="000000"/>
        </w:rPr>
      </w:pPr>
    </w:p>
    <w:p>
      <w:pPr>
        <w:pStyle w:val="2"/>
        <w:tabs>
          <w:tab w:val="left" w:pos="9060"/>
        </w:tabs>
        <w:spacing w:line="200" w:lineRule="exact"/>
        <w:ind w:firstLine="627" w:firstLineChars="196"/>
        <w:jc w:val="both"/>
        <w:rPr>
          <w:rFonts w:hint="eastAsia" w:ascii="Times New Roman" w:eastAsia="仿宋_GB2312"/>
          <w:color w:val="000000"/>
        </w:rPr>
      </w:pPr>
    </w:p>
    <w:p>
      <w:pPr>
        <w:pStyle w:val="2"/>
        <w:tabs>
          <w:tab w:val="left" w:pos="9060"/>
        </w:tabs>
        <w:spacing w:line="200" w:lineRule="exact"/>
        <w:ind w:firstLine="627" w:firstLineChars="196"/>
        <w:jc w:val="both"/>
        <w:rPr>
          <w:rFonts w:hint="eastAsia" w:ascii="Times New Roman" w:eastAsia="仿宋_GB2312"/>
          <w:color w:val="000000"/>
        </w:rPr>
      </w:pPr>
    </w:p>
    <w:p>
      <w:pPr>
        <w:pStyle w:val="2"/>
        <w:tabs>
          <w:tab w:val="left" w:pos="9060"/>
        </w:tabs>
        <w:spacing w:line="200" w:lineRule="exact"/>
        <w:ind w:firstLine="627" w:firstLineChars="196"/>
        <w:jc w:val="both"/>
        <w:rPr>
          <w:rFonts w:hint="eastAsia" w:ascii="Times New Roman" w:eastAsia="仿宋_GB2312"/>
          <w:color w:val="000000"/>
        </w:rPr>
      </w:pPr>
    </w:p>
    <w:p>
      <w:pPr>
        <w:pStyle w:val="2"/>
        <w:tabs>
          <w:tab w:val="left" w:pos="9060"/>
        </w:tabs>
        <w:spacing w:line="200" w:lineRule="exact"/>
        <w:ind w:firstLine="627" w:firstLineChars="196"/>
        <w:jc w:val="both"/>
        <w:rPr>
          <w:rFonts w:hint="eastAsia" w:ascii="Times New Roman" w:eastAsia="仿宋_GB2312"/>
          <w:color w:val="000000"/>
        </w:rPr>
      </w:pPr>
    </w:p>
    <w:p>
      <w:pPr>
        <w:pStyle w:val="2"/>
        <w:tabs>
          <w:tab w:val="left" w:pos="9060"/>
        </w:tabs>
        <w:spacing w:line="200" w:lineRule="exact"/>
        <w:ind w:firstLine="627" w:firstLineChars="196"/>
        <w:jc w:val="both"/>
        <w:rPr>
          <w:rFonts w:hint="eastAsia" w:ascii="Times New Roman" w:eastAsia="仿宋_GB2312"/>
          <w:color w:val="000000"/>
        </w:rPr>
      </w:pPr>
    </w:p>
    <w:p>
      <w:pPr>
        <w:pStyle w:val="2"/>
        <w:tabs>
          <w:tab w:val="left" w:pos="9060"/>
        </w:tabs>
        <w:spacing w:line="200" w:lineRule="exact"/>
        <w:ind w:firstLine="627" w:firstLineChars="196"/>
        <w:jc w:val="both"/>
        <w:rPr>
          <w:rFonts w:hint="eastAsia" w:ascii="Times New Roman" w:eastAsia="仿宋_GB2312"/>
          <w:color w:val="000000"/>
        </w:rPr>
      </w:pPr>
    </w:p>
    <w:p>
      <w:pPr>
        <w:spacing w:line="560" w:lineRule="exact"/>
        <w:ind w:right="640" w:firstLine="601"/>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 xml:space="preserve">            </w:t>
      </w:r>
      <w:r>
        <w:rPr>
          <w:rFonts w:ascii="Times New Roman" w:hAnsi="Times New Roman" w:eastAsia="仿宋_GB2312"/>
          <w:color w:val="000000"/>
          <w:sz w:val="32"/>
          <w:szCs w:val="32"/>
        </w:rPr>
        <w:t>天津市北辰区市场监督管理局</w:t>
      </w:r>
    </w:p>
    <w:p>
      <w:pPr>
        <w:spacing w:line="560" w:lineRule="exact"/>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 xml:space="preserve">                        </w:t>
      </w:r>
      <w:bookmarkStart w:id="3" w:name="_GoBack"/>
      <w:bookmarkEnd w:id="3"/>
      <w:r>
        <w:rPr>
          <w:rFonts w:ascii="Times New Roman" w:hAnsi="Times New Roman" w:eastAsia="仿宋_GB2312"/>
          <w:color w:val="000000"/>
          <w:sz w:val="32"/>
          <w:szCs w:val="32"/>
        </w:rPr>
        <w:t>2022年5月20日</w:t>
      </w:r>
    </w:p>
    <w:p>
      <w:pPr>
        <w:widowControl/>
        <w:snapToGrid w:val="0"/>
        <w:spacing w:line="520" w:lineRule="exact"/>
        <w:jc w:val="right"/>
        <w:rPr>
          <w:rFonts w:ascii="Times New Roman" w:hAnsi="Times New Roman" w:eastAsia="仿宋_GB2312"/>
          <w:color w:val="000000"/>
          <w:sz w:val="32"/>
          <w:szCs w:val="32"/>
        </w:rPr>
      </w:pPr>
    </w:p>
    <w:p>
      <w:pPr>
        <w:spacing w:line="500" w:lineRule="exact"/>
        <w:rPr>
          <w:rFonts w:ascii="Times New Roman" w:hAnsi="Times New Roman" w:eastAsia="仿宋_GB2312"/>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Arial Unicode MS">
    <w:altName w:val="Nimbus Roman No9 L"/>
    <w:panose1 w:val="020B0604020202020204"/>
    <w:charset w:val="00"/>
    <w:family w:val="roman"/>
    <w:pitch w:val="default"/>
    <w:sig w:usb0="00000000"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2F"/>
    <w:rsid w:val="0001386D"/>
    <w:rsid w:val="00054BB9"/>
    <w:rsid w:val="00066F73"/>
    <w:rsid w:val="00067A66"/>
    <w:rsid w:val="000A309D"/>
    <w:rsid w:val="000D332B"/>
    <w:rsid w:val="000D3D4D"/>
    <w:rsid w:val="00101CDB"/>
    <w:rsid w:val="00167D75"/>
    <w:rsid w:val="00177F6F"/>
    <w:rsid w:val="00181859"/>
    <w:rsid w:val="001C0839"/>
    <w:rsid w:val="001D4924"/>
    <w:rsid w:val="001E15A2"/>
    <w:rsid w:val="002024FF"/>
    <w:rsid w:val="00224661"/>
    <w:rsid w:val="002443A5"/>
    <w:rsid w:val="002832C1"/>
    <w:rsid w:val="00283759"/>
    <w:rsid w:val="00290EF7"/>
    <w:rsid w:val="002911A6"/>
    <w:rsid w:val="002D198A"/>
    <w:rsid w:val="002D29F1"/>
    <w:rsid w:val="00333381"/>
    <w:rsid w:val="00392A60"/>
    <w:rsid w:val="003B472E"/>
    <w:rsid w:val="003D34E1"/>
    <w:rsid w:val="0044442E"/>
    <w:rsid w:val="004D190E"/>
    <w:rsid w:val="004E1683"/>
    <w:rsid w:val="004F0418"/>
    <w:rsid w:val="004F4C72"/>
    <w:rsid w:val="004F711B"/>
    <w:rsid w:val="00510C2F"/>
    <w:rsid w:val="005150F2"/>
    <w:rsid w:val="0053106D"/>
    <w:rsid w:val="005B5017"/>
    <w:rsid w:val="005E5B19"/>
    <w:rsid w:val="0060446F"/>
    <w:rsid w:val="00604DDE"/>
    <w:rsid w:val="00610AD2"/>
    <w:rsid w:val="00633A74"/>
    <w:rsid w:val="006A5D25"/>
    <w:rsid w:val="006C38A8"/>
    <w:rsid w:val="006F7DB1"/>
    <w:rsid w:val="007155A8"/>
    <w:rsid w:val="00741BF7"/>
    <w:rsid w:val="007459B9"/>
    <w:rsid w:val="00790247"/>
    <w:rsid w:val="00790F1B"/>
    <w:rsid w:val="007B2408"/>
    <w:rsid w:val="00852D5A"/>
    <w:rsid w:val="008659C7"/>
    <w:rsid w:val="008C1251"/>
    <w:rsid w:val="008E3EBE"/>
    <w:rsid w:val="008E7C6A"/>
    <w:rsid w:val="00903797"/>
    <w:rsid w:val="00924A76"/>
    <w:rsid w:val="009472D4"/>
    <w:rsid w:val="00950BB8"/>
    <w:rsid w:val="009579CE"/>
    <w:rsid w:val="0099338B"/>
    <w:rsid w:val="009A0493"/>
    <w:rsid w:val="009D6E69"/>
    <w:rsid w:val="00A14864"/>
    <w:rsid w:val="00A570BD"/>
    <w:rsid w:val="00A8788A"/>
    <w:rsid w:val="00AC116B"/>
    <w:rsid w:val="00AC601E"/>
    <w:rsid w:val="00B048AD"/>
    <w:rsid w:val="00B77688"/>
    <w:rsid w:val="00B947CB"/>
    <w:rsid w:val="00BA15AD"/>
    <w:rsid w:val="00C70280"/>
    <w:rsid w:val="00CA10EA"/>
    <w:rsid w:val="00CA11A7"/>
    <w:rsid w:val="00CA3857"/>
    <w:rsid w:val="00CD3334"/>
    <w:rsid w:val="00D34ADB"/>
    <w:rsid w:val="00D45EBA"/>
    <w:rsid w:val="00D626B2"/>
    <w:rsid w:val="00D77A56"/>
    <w:rsid w:val="00D90305"/>
    <w:rsid w:val="00DA7499"/>
    <w:rsid w:val="00DB2036"/>
    <w:rsid w:val="00DE569E"/>
    <w:rsid w:val="00E044E8"/>
    <w:rsid w:val="00E319D6"/>
    <w:rsid w:val="00E40FD2"/>
    <w:rsid w:val="00E4441A"/>
    <w:rsid w:val="00E877C9"/>
    <w:rsid w:val="00EB7C2E"/>
    <w:rsid w:val="00EC4DFC"/>
    <w:rsid w:val="00EC77E0"/>
    <w:rsid w:val="00F01391"/>
    <w:rsid w:val="00F344BA"/>
    <w:rsid w:val="00F37DA6"/>
    <w:rsid w:val="00F502AB"/>
    <w:rsid w:val="00F95B1D"/>
    <w:rsid w:val="00FB1DB9"/>
    <w:rsid w:val="00FD7FB1"/>
    <w:rsid w:val="7FFF50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正文文本 字符"/>
    <w:basedOn w:val="6"/>
    <w:semiHidden/>
    <w:qFormat/>
    <w:uiPriority w:val="99"/>
    <w:rPr>
      <w:rFonts w:ascii="Calibri" w:hAnsi="Calibri" w:eastAsia="宋体" w:cs="Times New Roman"/>
      <w:szCs w:val="24"/>
    </w:rPr>
  </w:style>
  <w:style w:type="character" w:customStyle="1" w:styleId="10">
    <w:name w:val="正文文本 字符1"/>
    <w:link w:val="2"/>
    <w:qFormat/>
    <w:uiPriority w:val="1"/>
    <w:rPr>
      <w:rFonts w:ascii="Arial Unicode MS" w:hAnsi="Times New Roman" w:eastAsia="Arial Unicode MS" w:cs="Times New Roman"/>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368</Words>
  <Characters>2098</Characters>
  <Lines>17</Lines>
  <Paragraphs>4</Paragraphs>
  <TotalTime>235</TotalTime>
  <ScaleCrop>false</ScaleCrop>
  <LinksUpToDate>false</LinksUpToDate>
  <CharactersWithSpaces>2462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2021-07-30T10:13:00Z</dcterms:created>
  <dc:creator>张志鹏</dc:creator>
  <cp:lastModifiedBy>greatwall</cp:lastModifiedBy>
  <cp:lastPrinted>2021-12-22T15:14:00Z</cp:lastPrinted>
  <dcterms:modified xsi:type="dcterms:W3CDTF">2022-05-23T14:44:46Z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