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auto"/>
          <w:sz w:val="44"/>
          <w:szCs w:val="44"/>
          <w:highlight w:val="none"/>
        </w:rPr>
      </w:pPr>
      <w:r>
        <w:rPr>
          <w:rFonts w:hint="eastAsia" w:ascii="Times New Roman" w:hAnsi="Times New Roman" w:eastAsia="方正小标宋简体" w:cs="方正小标宋简体"/>
          <w:bCs/>
          <w:color w:val="auto"/>
          <w:sz w:val="44"/>
          <w:szCs w:val="44"/>
          <w:highlight w:val="none"/>
        </w:rPr>
        <w:t>天津市北辰区市场监督管理局</w:t>
      </w:r>
    </w:p>
    <w:p>
      <w:pPr>
        <w:spacing w:line="640" w:lineRule="exact"/>
        <w:jc w:val="center"/>
        <w:rPr>
          <w:rFonts w:ascii="Times New Roman" w:hAnsi="Times New Roman" w:eastAsia="方正小标宋简体" w:cs="方正小标宋简体"/>
          <w:bCs/>
          <w:color w:val="auto"/>
          <w:sz w:val="44"/>
          <w:szCs w:val="44"/>
          <w:highlight w:val="none"/>
        </w:rPr>
      </w:pPr>
      <w:r>
        <w:rPr>
          <w:rFonts w:hint="eastAsia" w:ascii="Times New Roman" w:hAnsi="Times New Roman" w:eastAsia="方正小标宋简体" w:cs="方正小标宋简体"/>
          <w:bCs/>
          <w:color w:val="auto"/>
          <w:sz w:val="44"/>
          <w:szCs w:val="44"/>
          <w:highlight w:val="none"/>
        </w:rPr>
        <w:t>行政处罚决定书</w:t>
      </w:r>
    </w:p>
    <w:p>
      <w:pPr>
        <w:wordWrap w:val="0"/>
        <w:adjustRightInd w:val="0"/>
        <w:snapToGrid w:val="0"/>
        <w:spacing w:before="312" w:beforeLines="100" w:after="312" w:afterLines="100" w:line="520" w:lineRule="exact"/>
        <w:jc w:val="center"/>
        <w:rPr>
          <w:rFonts w:ascii="Times New Roman" w:hAnsi="Times New Roman" w:eastAsia="仿宋_GB2312" w:cs="仿宋"/>
          <w:color w:val="auto"/>
          <w:sz w:val="32"/>
          <w:szCs w:val="32"/>
          <w:highlight w:val="none"/>
        </w:rPr>
      </w:pPr>
      <w:r>
        <w:rPr>
          <w:color w:val="auto"/>
          <w:highlight w:val="none"/>
        </w:rPr>
        <w:pict>
          <v:shape id="_x0000_s1027" o:spid="_x0000_s1027" o:spt="32" type="#_x0000_t32" style="position:absolute;left:0pt;margin-left:2pt;margin-top:1638pt;height:0.1pt;width:453.7pt;z-index:1024;mso-width-relative:page;mso-height-relative:page;" filled="f" coordsize="21600,21600">
            <v:path arrowok="t"/>
            <v:fill on="f" focussize="0,0"/>
            <v:stroke weight="1.5pt" endcap="square"/>
            <v:imagedata o:title=""/>
            <o:lock v:ext="edit"/>
          </v:shape>
        </w:pict>
      </w:r>
      <w:r>
        <w:rPr>
          <w:rFonts w:hint="eastAsia" w:ascii="Times New Roman" w:hAnsi="Times New Roman" w:eastAsia="仿宋_GB2312" w:cs="仿宋"/>
          <w:color w:val="auto"/>
          <w:sz w:val="32"/>
          <w:szCs w:val="32"/>
          <w:highlight w:val="none"/>
        </w:rPr>
        <w:t>津辰市监</w:t>
      </w:r>
      <w:r>
        <w:rPr>
          <w:rFonts w:hint="eastAsia" w:ascii="Times New Roman" w:hAnsi="Times New Roman" w:eastAsia="仿宋_GB2312" w:cs="仿宋"/>
          <w:color w:val="000000"/>
          <w:sz w:val="32"/>
          <w:szCs w:val="32"/>
          <w:lang w:eastAsia="zh-CN"/>
        </w:rPr>
        <w:t>处</w:t>
      </w:r>
      <w:bookmarkStart w:id="0" w:name="_GoBack"/>
      <w:bookmarkEnd w:id="0"/>
      <w:r>
        <w:rPr>
          <w:rFonts w:hint="eastAsia" w:ascii="Times New Roman" w:hAnsi="Times New Roman" w:eastAsia="仿宋_GB2312" w:cs="仿宋"/>
          <w:color w:val="auto"/>
          <w:sz w:val="32"/>
          <w:szCs w:val="32"/>
          <w:highlight w:val="none"/>
        </w:rPr>
        <w:t>罚〔</w:t>
      </w:r>
      <w:r>
        <w:rPr>
          <w:rFonts w:ascii="Times New Roman" w:hAnsi="Times New Roman" w:eastAsia="仿宋_GB2312" w:cs="仿宋"/>
          <w:color w:val="auto"/>
          <w:sz w:val="32"/>
          <w:szCs w:val="32"/>
          <w:highlight w:val="none"/>
        </w:rPr>
        <w:t>202</w:t>
      </w:r>
      <w:r>
        <w:rPr>
          <w:rFonts w:hint="eastAsia" w:ascii="Times New Roman" w:hAnsi="Times New Roman" w:eastAsia="仿宋_GB2312"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color w:val="auto"/>
          <w:sz w:val="32"/>
          <w:szCs w:val="32"/>
          <w:highlight w:val="none"/>
          <w:lang w:val="en-US" w:eastAsia="zh-CN"/>
        </w:rPr>
        <w:t>277</w:t>
      </w:r>
      <w:r>
        <w:rPr>
          <w:rFonts w:hint="eastAsia" w:ascii="Times New Roman" w:hAnsi="Times New Roman" w:eastAsia="仿宋_GB2312" w:cs="仿宋"/>
          <w:color w:val="auto"/>
          <w:sz w:val="32"/>
          <w:szCs w:val="32"/>
          <w:highlight w:val="none"/>
        </w:rPr>
        <w:t>号</w:t>
      </w:r>
    </w:p>
    <w:p>
      <w:pPr>
        <w:adjustRightInd w:val="0"/>
        <w:snapToGrid w:val="0"/>
        <w:spacing w:line="520" w:lineRule="exact"/>
        <w:rPr>
          <w:rFonts w:ascii="Times New Roman" w:hAnsi="Times New Roman" w:eastAsia="仿宋_GB2312" w:cs="Mongolian Baiti"/>
          <w:color w:val="auto"/>
          <w:sz w:val="32"/>
          <w:szCs w:val="32"/>
          <w:highlight w:val="none"/>
        </w:rPr>
      </w:pPr>
      <w:r>
        <w:rPr>
          <w:rFonts w:hint="eastAsia" w:ascii="Times New Roman" w:hAnsi="Times New Roman" w:eastAsia="仿宋_GB2312" w:cs="微软雅黑"/>
          <w:color w:val="auto"/>
          <w:kern w:val="1"/>
          <w:sz w:val="32"/>
          <w:szCs w:val="32"/>
          <w:highlight w:val="none"/>
        </w:rPr>
        <w:t>当事人</w:t>
      </w:r>
      <w:r>
        <w:rPr>
          <w:rFonts w:hint="eastAsia" w:ascii="Times New Roman" w:hAnsi="Times New Roman" w:eastAsia="仿宋_GB2312" w:cs="Mongolian Baiti"/>
          <w:color w:val="auto"/>
          <w:kern w:val="1"/>
          <w:sz w:val="32"/>
          <w:szCs w:val="32"/>
          <w:highlight w:val="none"/>
        </w:rPr>
        <w:t>：</w:t>
      </w:r>
      <w:r>
        <w:rPr>
          <w:rFonts w:hint="eastAsia" w:ascii="Times New Roman" w:hAnsi="Times New Roman" w:eastAsia="仿宋_GB2312" w:cs="Mongolian Baiti"/>
          <w:color w:val="auto"/>
          <w:kern w:val="1"/>
          <w:sz w:val="32"/>
          <w:szCs w:val="32"/>
          <w:highlight w:val="none"/>
          <w:lang w:eastAsia="zh-CN"/>
        </w:rPr>
        <w:t>天津峰云乐智文化传播有限公司</w:t>
      </w:r>
    </w:p>
    <w:p>
      <w:pPr>
        <w:adjustRightInd w:val="0"/>
        <w:snapToGrid w:val="0"/>
        <w:spacing w:line="520" w:lineRule="exact"/>
        <w:ind w:left="140" w:hanging="140"/>
        <w:rPr>
          <w:rFonts w:ascii="Times New Roman" w:hAnsi="Times New Roman" w:eastAsia="仿宋_GB2312" w:cs="Mongolian Baiti"/>
          <w:color w:val="auto"/>
          <w:kern w:val="1"/>
          <w:sz w:val="32"/>
          <w:szCs w:val="32"/>
          <w:highlight w:val="none"/>
          <w:u w:val="single"/>
        </w:rPr>
      </w:pPr>
      <w:r>
        <w:rPr>
          <w:rFonts w:hint="eastAsia" w:ascii="Times New Roman" w:hAnsi="Times New Roman" w:eastAsia="仿宋_GB2312" w:cs="Mongolian Baiti"/>
          <w:color w:val="auto"/>
          <w:kern w:val="1"/>
          <w:sz w:val="32"/>
          <w:szCs w:val="32"/>
          <w:highlight w:val="none"/>
        </w:rPr>
        <w:t>主体资格证照名称：营业执照</w:t>
      </w:r>
    </w:p>
    <w:p>
      <w:pPr>
        <w:adjustRightInd w:val="0"/>
        <w:snapToGrid w:val="0"/>
        <w:spacing w:line="520" w:lineRule="exact"/>
        <w:rPr>
          <w:rFonts w:ascii="Times New Roman" w:hAnsi="Times New Roman" w:eastAsia="仿宋_GB2312" w:cs="Mongolian Baiti"/>
          <w:color w:val="auto"/>
          <w:kern w:val="1"/>
          <w:sz w:val="32"/>
          <w:szCs w:val="32"/>
          <w:highlight w:val="none"/>
        </w:rPr>
      </w:pPr>
      <w:r>
        <w:rPr>
          <w:rFonts w:hint="eastAsia" w:ascii="Times New Roman" w:hAnsi="Times New Roman" w:eastAsia="仿宋_GB2312" w:cs="Mongolian Baiti"/>
          <w:color w:val="auto"/>
          <w:kern w:val="1"/>
          <w:sz w:val="32"/>
          <w:szCs w:val="32"/>
          <w:highlight w:val="none"/>
        </w:rPr>
        <w:t>统一社会信用代码（注册号）：</w:t>
      </w:r>
      <w:r>
        <w:rPr>
          <w:rFonts w:hint="eastAsia" w:ascii="Times New Roman" w:hAnsi="Times New Roman" w:eastAsia="仿宋_GB2312" w:cs="仿宋_GB2312"/>
          <w:bCs/>
          <w:color w:val="auto"/>
          <w:sz w:val="32"/>
          <w:szCs w:val="32"/>
          <w:highlight w:val="none"/>
        </w:rPr>
        <w:t>92120113MA07</w:t>
      </w:r>
      <w:r>
        <w:rPr>
          <w:rFonts w:hint="eastAsia" w:ascii="Times New Roman" w:hAnsi="Times New Roman" w:eastAsia="仿宋_GB2312" w:cs="仿宋_GB2312"/>
          <w:bCs/>
          <w:color w:val="auto"/>
          <w:sz w:val="32"/>
          <w:szCs w:val="32"/>
          <w:highlight w:val="none"/>
          <w:lang w:val="en-US" w:eastAsia="zh-CN"/>
        </w:rPr>
        <w:t>G7QEXN</w:t>
      </w:r>
    </w:p>
    <w:p>
      <w:pPr>
        <w:adjustRightInd w:val="0"/>
        <w:snapToGrid w:val="0"/>
        <w:spacing w:line="520" w:lineRule="exact"/>
        <w:jc w:val="left"/>
        <w:rPr>
          <w:rFonts w:ascii="Times New Roman" w:hAnsi="Times New Roman" w:eastAsia="仿宋_GB2312" w:cs="Mongolian Baiti"/>
          <w:color w:val="auto"/>
          <w:kern w:val="1"/>
          <w:sz w:val="32"/>
          <w:szCs w:val="32"/>
          <w:highlight w:val="none"/>
          <w:u w:val="single"/>
        </w:rPr>
      </w:pPr>
      <w:r>
        <w:rPr>
          <w:rFonts w:hint="eastAsia" w:ascii="Times New Roman" w:hAnsi="Times New Roman" w:eastAsia="仿宋_GB2312" w:cs="Mongolian Baiti"/>
          <w:color w:val="auto"/>
          <w:kern w:val="1"/>
          <w:sz w:val="32"/>
          <w:szCs w:val="32"/>
          <w:highlight w:val="none"/>
        </w:rPr>
        <w:t>住所（住址）：</w:t>
      </w:r>
      <w:r>
        <w:rPr>
          <w:rFonts w:hint="eastAsia" w:ascii="Times New Roman" w:hAnsi="Times New Roman" w:eastAsia="仿宋_GB2312" w:cs="仿宋_GB2312"/>
          <w:bCs/>
          <w:color w:val="auto"/>
          <w:sz w:val="32"/>
          <w:szCs w:val="32"/>
          <w:highlight w:val="none"/>
          <w:lang w:eastAsia="zh-CN"/>
        </w:rPr>
        <w:t>天津市北辰区天穆镇辰悦广场三楼</w:t>
      </w:r>
    </w:p>
    <w:p>
      <w:pPr>
        <w:adjustRightInd w:val="0"/>
        <w:snapToGrid w:val="0"/>
        <w:spacing w:line="520" w:lineRule="exact"/>
        <w:jc w:val="left"/>
        <w:rPr>
          <w:rFonts w:ascii="Times New Roman" w:hAnsi="Times New Roman" w:eastAsia="仿宋_GB2312" w:cs="仿宋_GB2312"/>
          <w:bCs/>
          <w:color w:val="auto"/>
          <w:sz w:val="32"/>
          <w:szCs w:val="32"/>
          <w:highlight w:val="none"/>
        </w:rPr>
      </w:pPr>
      <w:r>
        <w:rPr>
          <w:rFonts w:hint="eastAsia" w:ascii="Times New Roman" w:hAnsi="Times New Roman" w:eastAsia="仿宋_GB2312" w:cs="Mongolian Baiti"/>
          <w:color w:val="auto"/>
          <w:kern w:val="1"/>
          <w:sz w:val="32"/>
          <w:szCs w:val="32"/>
          <w:highlight w:val="none"/>
        </w:rPr>
        <w:t>法定代表人（负责人、经营者）：</w:t>
      </w:r>
      <w:r>
        <w:rPr>
          <w:rFonts w:hint="eastAsia" w:ascii="Times New Roman" w:hAnsi="Times New Roman" w:eastAsia="仿宋_GB2312" w:cs="仿宋_GB2312"/>
          <w:bCs/>
          <w:color w:val="auto"/>
          <w:sz w:val="32"/>
          <w:szCs w:val="32"/>
          <w:highlight w:val="none"/>
        </w:rPr>
        <w:t>李晓峰</w:t>
      </w:r>
    </w:p>
    <w:p>
      <w:pPr>
        <w:adjustRightInd w:val="0"/>
        <w:snapToGrid w:val="0"/>
        <w:spacing w:line="520" w:lineRule="exact"/>
        <w:rPr>
          <w:rFonts w:hint="default" w:ascii="Times New Roman" w:hAnsi="Times New Roman" w:eastAsia="仿宋_GB2312" w:cs="Mongolian Baiti"/>
          <w:color w:val="auto"/>
          <w:kern w:val="1"/>
          <w:sz w:val="32"/>
          <w:szCs w:val="32"/>
          <w:highlight w:val="none"/>
          <w:u w:val="single"/>
          <w:lang w:val="en-US"/>
        </w:rPr>
      </w:pPr>
      <w:r>
        <w:rPr>
          <w:rFonts w:hint="eastAsia" w:ascii="Times New Roman" w:hAnsi="Times New Roman" w:eastAsia="仿宋_GB2312" w:cs="Mongolian Baiti"/>
          <w:color w:val="auto"/>
          <w:kern w:val="1"/>
          <w:sz w:val="32"/>
          <w:szCs w:val="32"/>
          <w:highlight w:val="none"/>
        </w:rPr>
        <w:t>身份证（其他有效证件）号码：</w:t>
      </w:r>
      <w:r>
        <w:rPr>
          <w:rFonts w:hint="eastAsia" w:ascii="Times New Roman" w:hAnsi="Times New Roman" w:eastAsia="仿宋_GB2312" w:cs="Mongolian Baiti"/>
          <w:color w:val="auto"/>
          <w:kern w:val="1"/>
          <w:sz w:val="32"/>
          <w:szCs w:val="32"/>
          <w:highlight w:val="none"/>
          <w:lang w:val="en-US" w:eastAsia="zh-CN"/>
        </w:rPr>
        <w:t>/</w:t>
      </w:r>
    </w:p>
    <w:p>
      <w:pPr>
        <w:adjustRightInd w:val="0"/>
        <w:snapToGrid w:val="0"/>
        <w:spacing w:line="520" w:lineRule="exact"/>
        <w:ind w:left="140" w:hanging="140"/>
        <w:rPr>
          <w:rFonts w:hint="default" w:ascii="Times New Roman" w:hAnsi="Times New Roman" w:eastAsia="仿宋_GB2312" w:cs="Mongolian Baiti"/>
          <w:color w:val="auto"/>
          <w:kern w:val="1"/>
          <w:sz w:val="32"/>
          <w:szCs w:val="32"/>
          <w:highlight w:val="none"/>
          <w:u w:val="single"/>
          <w:lang w:val="en-US"/>
        </w:rPr>
      </w:pPr>
      <w:r>
        <w:rPr>
          <w:rFonts w:hint="eastAsia" w:ascii="Times New Roman" w:hAnsi="Times New Roman" w:eastAsia="仿宋_GB2312" w:cs="Mongolian Baiti"/>
          <w:color w:val="auto"/>
          <w:kern w:val="1"/>
          <w:sz w:val="32"/>
          <w:szCs w:val="32"/>
          <w:highlight w:val="none"/>
        </w:rPr>
        <w:t>联系电话：</w:t>
      </w:r>
      <w:r>
        <w:rPr>
          <w:rFonts w:hint="eastAsia" w:ascii="Times New Roman" w:hAnsi="Times New Roman" w:eastAsia="仿宋_GB2312" w:cs="Mongolian Baiti"/>
          <w:color w:val="auto"/>
          <w:kern w:val="1"/>
          <w:sz w:val="32"/>
          <w:szCs w:val="32"/>
          <w:highlight w:val="none"/>
          <w:lang w:val="en-US" w:eastAsia="zh-CN"/>
        </w:rPr>
        <w:t>/</w:t>
      </w:r>
    </w:p>
    <w:p>
      <w:pPr>
        <w:adjustRightInd w:val="0"/>
        <w:snapToGrid w:val="0"/>
        <w:spacing w:line="520" w:lineRule="exact"/>
        <w:rPr>
          <w:rFonts w:ascii="Times New Roman" w:hAnsi="Times New Roman" w:eastAsia="仿宋_GB2312" w:cs="Mongolian Baiti"/>
          <w:color w:val="auto"/>
          <w:kern w:val="1"/>
          <w:sz w:val="32"/>
          <w:szCs w:val="32"/>
          <w:highlight w:val="none"/>
        </w:rPr>
      </w:pPr>
      <w:r>
        <w:rPr>
          <w:rFonts w:hint="eastAsia" w:ascii="Times New Roman" w:hAnsi="Times New Roman" w:eastAsia="仿宋_GB2312" w:cs="Mongolian Baiti"/>
          <w:color w:val="auto"/>
          <w:kern w:val="1"/>
          <w:sz w:val="32"/>
          <w:szCs w:val="32"/>
          <w:highlight w:val="none"/>
        </w:rPr>
        <w:t>联系地址：</w:t>
      </w:r>
      <w:r>
        <w:rPr>
          <w:rFonts w:hint="eastAsia" w:ascii="Times New Roman" w:hAnsi="Times New Roman" w:eastAsia="仿宋_GB2312" w:cs="仿宋_GB2312"/>
          <w:bCs/>
          <w:color w:val="auto"/>
          <w:sz w:val="32"/>
          <w:szCs w:val="32"/>
          <w:highlight w:val="none"/>
          <w:lang w:val="en-US" w:eastAsia="zh-CN"/>
        </w:rPr>
        <w:t>/</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案件来源、调查经过及采取行政强制措施的情况：</w:t>
      </w:r>
      <w:r>
        <w:rPr>
          <w:rFonts w:ascii="Times New Roman" w:hAnsi="Times New Roman" w:eastAsia="仿宋_GB2312" w:cs="仿宋_GB2312"/>
          <w:color w:val="auto"/>
          <w:sz w:val="32"/>
          <w:szCs w:val="32"/>
          <w:highlight w:val="none"/>
        </w:rPr>
        <w:t xml:space="preserve"> </w:t>
      </w:r>
    </w:p>
    <w:p>
      <w:pPr>
        <w:adjustRightInd w:val="0"/>
        <w:snapToGrid w:val="0"/>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27</w:t>
      </w:r>
      <w:r>
        <w:rPr>
          <w:rFonts w:hint="eastAsia" w:ascii="Times New Roman" w:hAnsi="Times New Roman" w:eastAsia="仿宋_GB2312" w:cs="仿宋_GB2312"/>
          <w:color w:val="auto"/>
          <w:sz w:val="32"/>
          <w:szCs w:val="32"/>
          <w:highlight w:val="none"/>
        </w:rPr>
        <w:t>日我局执法人员</w:t>
      </w:r>
      <w:r>
        <w:rPr>
          <w:rFonts w:hint="eastAsia" w:ascii="Times New Roman" w:hAnsi="Times New Roman" w:eastAsia="仿宋_GB2312" w:cs="仿宋_GB2312"/>
          <w:color w:val="auto"/>
          <w:sz w:val="32"/>
          <w:szCs w:val="32"/>
          <w:highlight w:val="none"/>
          <w:lang w:eastAsia="zh-CN"/>
        </w:rPr>
        <w:t>到位于天津市北辰区天穆镇辰悦广场三楼</w:t>
      </w:r>
      <w:r>
        <w:rPr>
          <w:rFonts w:hint="eastAsia" w:ascii="Times New Roman" w:hAnsi="Times New Roman" w:eastAsia="仿宋_GB2312" w:cs="仿宋_GB2312"/>
          <w:color w:val="auto"/>
          <w:sz w:val="32"/>
          <w:szCs w:val="32"/>
          <w:highlight w:val="none"/>
          <w:lang w:val="en-US" w:eastAsia="zh-CN"/>
        </w:rPr>
        <w:t>的</w:t>
      </w:r>
      <w:r>
        <w:rPr>
          <w:rFonts w:hint="eastAsia" w:ascii="Times New Roman" w:hAnsi="Times New Roman" w:eastAsia="仿宋_GB2312" w:cs="仿宋_GB2312"/>
          <w:color w:val="auto"/>
          <w:sz w:val="32"/>
          <w:szCs w:val="32"/>
          <w:highlight w:val="none"/>
          <w:lang w:eastAsia="zh-CN"/>
        </w:rPr>
        <w:t>天津峰云乐智文化传播有限公司进行检查</w:t>
      </w:r>
      <w:r>
        <w:rPr>
          <w:rFonts w:hint="eastAsia" w:ascii="Times New Roman" w:hAnsi="Times New Roman" w:eastAsia="仿宋_GB2312" w:cs="仿宋_GB2312"/>
          <w:color w:val="auto"/>
          <w:sz w:val="32"/>
          <w:szCs w:val="32"/>
          <w:highlight w:val="none"/>
          <w:lang w:val="en-US" w:eastAsia="zh-CN"/>
        </w:rPr>
        <w:t>，经现场检查，该公司牌匾名称为+，登记注册名称与现场牌匾不一致。</w:t>
      </w:r>
      <w:r>
        <w:rPr>
          <w:rFonts w:hint="eastAsia" w:ascii="Times New Roman" w:hAnsi="Times New Roman" w:eastAsia="仿宋_GB2312" w:cs="仿宋_GB2312"/>
          <w:color w:val="auto"/>
          <w:sz w:val="32"/>
          <w:szCs w:val="32"/>
          <w:highlight w:val="none"/>
        </w:rPr>
        <w:t>同日予以立案。</w:t>
      </w:r>
    </w:p>
    <w:p>
      <w:pPr>
        <w:adjustRightInd w:val="0"/>
        <w:snapToGrid w:val="0"/>
        <w:spacing w:line="520" w:lineRule="exact"/>
        <w:ind w:firstLine="640" w:firstLineChars="200"/>
        <w:rPr>
          <w:rFonts w:ascii="Times New Roman" w:hAnsi="Times New Roman" w:eastAsia="仿宋_GB2312" w:cs="仿宋"/>
          <w:color w:val="auto"/>
          <w:sz w:val="32"/>
          <w:szCs w:val="32"/>
          <w:highlight w:val="none"/>
        </w:rPr>
      </w:pPr>
      <w:r>
        <w:rPr>
          <w:rFonts w:hint="eastAsia" w:ascii="Times New Roman" w:hAnsi="Times New Roman" w:eastAsia="仿宋_GB2312" w:cs="仿宋_GB2312"/>
          <w:color w:val="auto"/>
          <w:sz w:val="32"/>
          <w:szCs w:val="32"/>
          <w:highlight w:val="none"/>
        </w:rPr>
        <w:t>调查认定的事实：我局执法人员当事人现场检查，当事人</w:t>
      </w:r>
      <w:r>
        <w:rPr>
          <w:rFonts w:hint="eastAsia" w:ascii="Times New Roman" w:hAnsi="Times New Roman" w:eastAsia="仿宋_GB2312" w:cs="仿宋_GB2312"/>
          <w:color w:val="auto"/>
          <w:sz w:val="32"/>
          <w:szCs w:val="32"/>
          <w:highlight w:val="none"/>
          <w:lang w:eastAsia="zh-CN"/>
        </w:rPr>
        <w:t>已办理营业执照，营业执照名称为“天津峰云乐智文化传播有限公司”</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现场检查当事人经营场所，经营场所悬挂“奇乐王国”字样牌匾，现场无与营业执照名称一致牌匾</w:t>
      </w:r>
      <w:r>
        <w:rPr>
          <w:rFonts w:hint="eastAsia" w:ascii="Times New Roman" w:hAnsi="Times New Roman" w:eastAsia="仿宋_GB2312" w:cs="仿宋_GB2312"/>
          <w:color w:val="auto"/>
          <w:sz w:val="32"/>
          <w:szCs w:val="32"/>
          <w:highlight w:val="none"/>
        </w:rPr>
        <w:t>。</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上述事实，主要有以下证据证明：</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1</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当事人的营业执照，</w:t>
      </w:r>
      <w:r>
        <w:rPr>
          <w:rFonts w:hint="eastAsia" w:ascii="Times New Roman" w:hAnsi="Times New Roman" w:eastAsia="仿宋_GB2312" w:cs="仿宋_GB2312"/>
          <w:color w:val="auto"/>
          <w:sz w:val="32"/>
          <w:szCs w:val="32"/>
          <w:highlight w:val="none"/>
          <w:lang w:eastAsia="zh-CN"/>
        </w:rPr>
        <w:t>法定代表人李晓峰</w:t>
      </w:r>
      <w:r>
        <w:rPr>
          <w:rFonts w:hint="eastAsia" w:ascii="Times New Roman" w:hAnsi="Times New Roman" w:eastAsia="仿宋_GB2312" w:cs="仿宋_GB2312"/>
          <w:color w:val="auto"/>
          <w:sz w:val="32"/>
          <w:szCs w:val="32"/>
          <w:highlight w:val="none"/>
        </w:rPr>
        <w:t>身份证复印件。</w:t>
      </w:r>
      <w:r>
        <w:rPr>
          <w:rFonts w:ascii="Times New Roman" w:hAnsi="Times New Roman" w:eastAsia="仿宋_GB2312" w:cs="仿宋_GB2312"/>
          <w:color w:val="auto"/>
          <w:sz w:val="32"/>
          <w:szCs w:val="32"/>
          <w:highlight w:val="none"/>
        </w:rPr>
        <w:t xml:space="preserve">                                    </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2</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现场照片。</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3</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eastAsia="zh-CN"/>
        </w:rPr>
        <w:t>法定代表人李晓峰</w:t>
      </w:r>
      <w:r>
        <w:rPr>
          <w:rFonts w:hint="eastAsia" w:ascii="Times New Roman" w:hAnsi="Times New Roman" w:eastAsia="仿宋_GB2312" w:cs="仿宋_GB2312"/>
          <w:color w:val="auto"/>
          <w:sz w:val="32"/>
          <w:szCs w:val="32"/>
          <w:highlight w:val="none"/>
        </w:rPr>
        <w:t>的询问调查笔录</w:t>
      </w:r>
      <w:r>
        <w:rPr>
          <w:rFonts w:hint="eastAsia" w:ascii="Times New Roman" w:hAnsi="Times New Roman" w:eastAsia="仿宋_GB2312" w:cs="仿宋_GB2312"/>
          <w:color w:val="auto"/>
          <w:sz w:val="32"/>
          <w:szCs w:val="32"/>
          <w:highlight w:val="none"/>
          <w:lang w:eastAsia="zh-CN"/>
        </w:rPr>
        <w:t>、现场笔录</w:t>
      </w:r>
      <w:r>
        <w:rPr>
          <w:rFonts w:hint="eastAsia" w:ascii="Times New Roman" w:hAnsi="Times New Roman" w:eastAsia="仿宋_GB2312" w:cs="仿宋_GB2312"/>
          <w:color w:val="auto"/>
          <w:sz w:val="32"/>
          <w:szCs w:val="32"/>
          <w:highlight w:val="none"/>
        </w:rPr>
        <w:t>。</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27</w:t>
      </w:r>
      <w:r>
        <w:rPr>
          <w:rFonts w:hint="eastAsia" w:ascii="Times New Roman" w:hAnsi="Times New Roman" w:eastAsia="仿宋_GB2312" w:cs="仿宋_GB2312"/>
          <w:color w:val="auto"/>
          <w:sz w:val="32"/>
          <w:szCs w:val="32"/>
          <w:highlight w:val="none"/>
        </w:rPr>
        <w:t>日，我局执法人员向当事人送达了《行政处罚告知书》（津辰市监罚告</w:t>
      </w:r>
      <w:r>
        <w:rPr>
          <w:rFonts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277</w:t>
      </w:r>
      <w:r>
        <w:rPr>
          <w:rFonts w:hint="eastAsia" w:ascii="Times New Roman" w:hAnsi="Times New Roman" w:eastAsia="仿宋_GB2312" w:cs="仿宋_GB2312"/>
          <w:color w:val="auto"/>
          <w:sz w:val="32"/>
          <w:szCs w:val="32"/>
          <w:highlight w:val="none"/>
        </w:rPr>
        <w:t>号），告知其行政处罚的事实、理由、依据及处罚内容，当事人表示不提出陈述、申辩。</w:t>
      </w:r>
    </w:p>
    <w:p>
      <w:pPr>
        <w:adjustRightInd w:val="0"/>
        <w:snapToGrid w:val="0"/>
        <w:spacing w:line="520" w:lineRule="exact"/>
        <w:ind w:firstLine="640" w:firstLineChars="200"/>
        <w:rPr>
          <w:rFonts w:hint="eastAsia" w:ascii="Times New Roman" w:hAnsi="Times New Roman" w:eastAsia="仿宋_GB2312" w:cs="仿宋_GB2312"/>
          <w:bCs/>
          <w:color w:val="auto"/>
          <w:sz w:val="32"/>
          <w:szCs w:val="32"/>
          <w:highlight w:val="none"/>
        </w:rPr>
      </w:pPr>
      <w:r>
        <w:rPr>
          <w:rFonts w:hint="eastAsia" w:ascii="Times New Roman" w:hAnsi="Times New Roman" w:eastAsia="仿宋_GB2312" w:cs="仿宋_GB2312"/>
          <w:bCs/>
          <w:color w:val="auto"/>
          <w:sz w:val="32"/>
          <w:szCs w:val="32"/>
          <w:highlight w:val="none"/>
        </w:rPr>
        <w:t>案件性质：当事人上述行为违反了《</w:t>
      </w:r>
      <w:r>
        <w:rPr>
          <w:rFonts w:hint="eastAsia" w:ascii="Times New Roman" w:hAnsi="Times New Roman" w:eastAsia="仿宋_GB2312" w:cs="仿宋_GB2312"/>
          <w:bCs/>
          <w:color w:val="auto"/>
          <w:sz w:val="32"/>
          <w:szCs w:val="32"/>
          <w:highlight w:val="none"/>
          <w:lang w:val="zh-CN"/>
        </w:rPr>
        <w:t>企业名称登记管理规定</w:t>
      </w:r>
      <w:r>
        <w:rPr>
          <w:rFonts w:hint="eastAsia" w:ascii="Times New Roman" w:hAnsi="Times New Roman" w:eastAsia="仿宋_GB2312" w:cs="仿宋_GB2312"/>
          <w:bCs/>
          <w:color w:val="auto"/>
          <w:sz w:val="32"/>
          <w:szCs w:val="32"/>
          <w:highlight w:val="none"/>
        </w:rPr>
        <w:t>》第</w:t>
      </w:r>
      <w:r>
        <w:rPr>
          <w:rFonts w:hint="eastAsia" w:ascii="Times New Roman" w:hAnsi="Times New Roman" w:eastAsia="仿宋_GB2312" w:cs="仿宋_GB2312"/>
          <w:bCs/>
          <w:color w:val="auto"/>
          <w:sz w:val="32"/>
          <w:szCs w:val="32"/>
          <w:highlight w:val="none"/>
          <w:lang w:eastAsia="zh-CN"/>
        </w:rPr>
        <w:t>二十</w:t>
      </w:r>
      <w:r>
        <w:rPr>
          <w:rFonts w:hint="eastAsia" w:ascii="Times New Roman" w:hAnsi="Times New Roman" w:eastAsia="仿宋_GB2312" w:cs="仿宋_GB2312"/>
          <w:bCs/>
          <w:color w:val="auto"/>
          <w:sz w:val="32"/>
          <w:szCs w:val="32"/>
          <w:highlight w:val="none"/>
        </w:rPr>
        <w:t>条“</w:t>
      </w:r>
      <w:r>
        <w:rPr>
          <w:rFonts w:hint="eastAsia" w:ascii="Times New Roman" w:hAnsi="Times New Roman" w:eastAsia="仿宋_GB2312" w:cs="仿宋_GB2312"/>
          <w:bCs/>
          <w:color w:val="auto"/>
          <w:sz w:val="32"/>
          <w:szCs w:val="32"/>
          <w:highlight w:val="none"/>
          <w:lang w:val="zh-CN"/>
        </w:rPr>
        <w:t>企业的印章、银行帐户、牌匾、信笺所使用的名称应当与登记注册的企业名称相同。丛事商业、公共饮食、服务等行业的企业名称牌匾可适当简化，但应当报登记主管机关备案。</w:t>
      </w:r>
      <w:r>
        <w:rPr>
          <w:rFonts w:hint="eastAsia" w:ascii="Times New Roman" w:hAnsi="Times New Roman" w:eastAsia="仿宋_GB2312" w:cs="仿宋_GB2312"/>
          <w:bCs/>
          <w:color w:val="auto"/>
          <w:sz w:val="32"/>
          <w:szCs w:val="32"/>
          <w:highlight w:val="none"/>
        </w:rPr>
        <w:t>”</w:t>
      </w:r>
    </w:p>
    <w:p>
      <w:pPr>
        <w:adjustRightInd w:val="0"/>
        <w:snapToGrid w:val="0"/>
        <w:spacing w:line="520" w:lineRule="exact"/>
        <w:ind w:firstLine="640" w:firstLineChars="200"/>
        <w:rPr>
          <w:rFonts w:hint="eastAsia" w:ascii="Times New Roman" w:hAnsi="Times New Roman" w:eastAsia="仿宋_GB2312" w:cs="仿宋_GB2312"/>
          <w:bCs/>
          <w:color w:val="auto"/>
          <w:sz w:val="32"/>
          <w:szCs w:val="32"/>
          <w:highlight w:val="none"/>
          <w:lang w:eastAsia="zh-CN"/>
        </w:rPr>
      </w:pPr>
      <w:r>
        <w:rPr>
          <w:rFonts w:hint="eastAsia" w:ascii="Times New Roman" w:hAnsi="Times New Roman" w:eastAsia="仿宋_GB2312" w:cs="仿宋_GB2312"/>
          <w:bCs/>
          <w:color w:val="auto"/>
          <w:sz w:val="32"/>
          <w:szCs w:val="32"/>
          <w:highlight w:val="none"/>
        </w:rPr>
        <w:t>因当事人涉嫌违法行为</w:t>
      </w:r>
      <w:r>
        <w:rPr>
          <w:rFonts w:hint="eastAsia" w:ascii="Times New Roman" w:hAnsi="Times New Roman" w:eastAsia="仿宋_GB2312" w:cs="仿宋_GB2312"/>
          <w:bCs/>
          <w:color w:val="auto"/>
          <w:sz w:val="32"/>
          <w:szCs w:val="32"/>
          <w:highlight w:val="none"/>
          <w:lang w:eastAsia="zh-CN"/>
        </w:rPr>
        <w:t>违反北辰区疫情防控指挥部关于新冠肺炎疫情期间游艺场所（含淘气堡等儿童游戏场所）停止经营有关规定，</w:t>
      </w:r>
      <w:r>
        <w:rPr>
          <w:rFonts w:hint="eastAsia" w:ascii="Times New Roman" w:hAnsi="Times New Roman" w:eastAsia="仿宋_GB2312" w:cs="仿宋_GB2312"/>
          <w:bCs/>
          <w:color w:val="auto"/>
          <w:sz w:val="32"/>
          <w:szCs w:val="32"/>
          <w:highlight w:val="none"/>
        </w:rPr>
        <w:t>对当事人从重处罚。</w:t>
      </w:r>
    </w:p>
    <w:p>
      <w:pPr>
        <w:adjustRightInd w:val="0"/>
        <w:snapToGrid w:val="0"/>
        <w:spacing w:line="520" w:lineRule="exact"/>
        <w:ind w:firstLine="640" w:firstLineChars="200"/>
        <w:rPr>
          <w:rFonts w:hint="eastAsia" w:ascii="Times New Roman" w:hAnsi="Times New Roman" w:eastAsia="仿宋_GB2312" w:cs="仿宋_GB2312"/>
          <w:bCs/>
          <w:color w:val="auto"/>
          <w:sz w:val="32"/>
          <w:szCs w:val="32"/>
          <w:highlight w:val="none"/>
        </w:rPr>
      </w:pPr>
      <w:r>
        <w:rPr>
          <w:rFonts w:hint="eastAsia" w:ascii="Times New Roman" w:hAnsi="Times New Roman" w:eastAsia="仿宋_GB2312" w:cs="仿宋_GB2312"/>
          <w:bCs/>
          <w:color w:val="auto"/>
          <w:sz w:val="32"/>
          <w:szCs w:val="32"/>
          <w:highlight w:val="none"/>
        </w:rPr>
        <w:t>处理意见及依据：</w:t>
      </w:r>
      <w:r>
        <w:rPr>
          <w:rFonts w:hint="eastAsia" w:ascii="Times New Roman" w:hAnsi="Times New Roman" w:eastAsia="仿宋_GB2312" w:cs="仿宋_GB2312"/>
          <w:bCs/>
          <w:color w:val="auto"/>
          <w:sz w:val="32"/>
          <w:szCs w:val="32"/>
          <w:highlight w:val="none"/>
          <w:lang w:eastAsia="zh-CN"/>
        </w:rPr>
        <w:t>依据</w:t>
      </w:r>
      <w:r>
        <w:rPr>
          <w:rFonts w:hint="eastAsia" w:ascii="Times New Roman" w:hAnsi="Times New Roman" w:eastAsia="仿宋_GB2312" w:cs="仿宋_GB2312"/>
          <w:bCs/>
          <w:color w:val="auto"/>
          <w:sz w:val="32"/>
          <w:szCs w:val="32"/>
          <w:highlight w:val="none"/>
        </w:rPr>
        <w:t>《</w:t>
      </w:r>
      <w:r>
        <w:rPr>
          <w:rFonts w:hint="eastAsia" w:ascii="Times New Roman" w:hAnsi="Times New Roman" w:eastAsia="仿宋_GB2312" w:cs="仿宋_GB2312"/>
          <w:bCs/>
          <w:color w:val="auto"/>
          <w:sz w:val="32"/>
          <w:szCs w:val="32"/>
          <w:highlight w:val="none"/>
          <w:lang w:val="zh-CN"/>
        </w:rPr>
        <w:t>企业名称登记管理规定</w:t>
      </w:r>
      <w:r>
        <w:rPr>
          <w:rFonts w:hint="eastAsia" w:ascii="Times New Roman" w:hAnsi="Times New Roman" w:eastAsia="仿宋_GB2312" w:cs="仿宋_GB2312"/>
          <w:bCs/>
          <w:color w:val="auto"/>
          <w:sz w:val="32"/>
          <w:szCs w:val="32"/>
          <w:highlight w:val="none"/>
        </w:rPr>
        <w:t>》第</w:t>
      </w:r>
      <w:r>
        <w:rPr>
          <w:rFonts w:hint="eastAsia" w:ascii="Times New Roman" w:hAnsi="Times New Roman" w:eastAsia="仿宋_GB2312" w:cs="仿宋_GB2312"/>
          <w:bCs/>
          <w:color w:val="auto"/>
          <w:sz w:val="32"/>
          <w:szCs w:val="32"/>
          <w:highlight w:val="none"/>
          <w:lang w:eastAsia="zh-CN"/>
        </w:rPr>
        <w:t>二十六</w:t>
      </w:r>
      <w:r>
        <w:rPr>
          <w:rFonts w:hint="eastAsia" w:ascii="Times New Roman" w:hAnsi="Times New Roman" w:eastAsia="仿宋_GB2312" w:cs="仿宋_GB2312"/>
          <w:bCs/>
          <w:color w:val="auto"/>
          <w:sz w:val="32"/>
          <w:szCs w:val="32"/>
          <w:highlight w:val="none"/>
        </w:rPr>
        <w:t>条第</w:t>
      </w:r>
      <w:r>
        <w:rPr>
          <w:rFonts w:hint="eastAsia" w:ascii="Times New Roman" w:hAnsi="Times New Roman" w:eastAsia="仿宋_GB2312" w:cs="仿宋_GB2312"/>
          <w:bCs/>
          <w:color w:val="auto"/>
          <w:sz w:val="32"/>
          <w:szCs w:val="32"/>
          <w:highlight w:val="none"/>
          <w:lang w:eastAsia="zh-CN"/>
        </w:rPr>
        <w:t>五</w:t>
      </w:r>
      <w:r>
        <w:rPr>
          <w:rFonts w:hint="eastAsia" w:ascii="Times New Roman" w:hAnsi="Times New Roman" w:eastAsia="仿宋_GB2312" w:cs="仿宋_GB2312"/>
          <w:bCs/>
          <w:color w:val="auto"/>
          <w:sz w:val="32"/>
          <w:szCs w:val="32"/>
          <w:highlight w:val="none"/>
        </w:rPr>
        <w:t>项“</w:t>
      </w:r>
      <w:r>
        <w:rPr>
          <w:rFonts w:hint="eastAsia" w:ascii="Times New Roman" w:hAnsi="Times New Roman" w:eastAsia="仿宋_GB2312" w:cs="仿宋_GB2312"/>
          <w:bCs/>
          <w:color w:val="auto"/>
          <w:sz w:val="32"/>
          <w:szCs w:val="32"/>
          <w:highlight w:val="none"/>
          <w:lang w:val="zh-CN"/>
        </w:rPr>
        <w:t>违反本规定的下列行为，由登记主管机关区别情节，予以处罚：（五）违反本规定第二十条规定的，予以警告并处以五百元以上、五千元以下罚款</w:t>
      </w:r>
      <w:r>
        <w:rPr>
          <w:rFonts w:hint="eastAsia" w:ascii="Times New Roman" w:hAnsi="Times New Roman" w:eastAsia="仿宋_GB2312" w:cs="仿宋_GB2312"/>
          <w:bCs/>
          <w:color w:val="auto"/>
          <w:sz w:val="32"/>
          <w:szCs w:val="32"/>
          <w:highlight w:val="none"/>
        </w:rPr>
        <w:t>”的规定，结合当事人从重处罚情节，拟责令当事人停止违法行为，并给予以下行政处罚：</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bCs/>
          <w:color w:val="auto"/>
          <w:sz w:val="32"/>
          <w:szCs w:val="32"/>
          <w:highlight w:val="none"/>
          <w:lang w:val="en-US" w:eastAsia="zh-CN"/>
        </w:rPr>
        <w:t>1.</w:t>
      </w:r>
      <w:r>
        <w:rPr>
          <w:rFonts w:hint="eastAsia" w:ascii="Times New Roman" w:hAnsi="Times New Roman" w:eastAsia="仿宋_GB2312" w:cs="仿宋_GB2312"/>
          <w:bCs/>
          <w:color w:val="auto"/>
          <w:sz w:val="32"/>
          <w:szCs w:val="32"/>
          <w:highlight w:val="none"/>
        </w:rPr>
        <w:t>罚款</w:t>
      </w:r>
      <w:r>
        <w:rPr>
          <w:rFonts w:hint="eastAsia" w:ascii="Times New Roman" w:hAnsi="Times New Roman" w:eastAsia="仿宋_GB2312" w:cs="仿宋_GB2312"/>
          <w:bCs/>
          <w:color w:val="auto"/>
          <w:sz w:val="32"/>
          <w:szCs w:val="32"/>
          <w:highlight w:val="none"/>
          <w:lang w:val="en-US" w:eastAsia="zh-CN"/>
        </w:rPr>
        <w:t>5</w:t>
      </w:r>
      <w:r>
        <w:rPr>
          <w:rFonts w:hint="eastAsia" w:ascii="Times New Roman" w:hAnsi="Times New Roman" w:eastAsia="仿宋_GB2312" w:cs="仿宋_GB2312"/>
          <w:bCs/>
          <w:color w:val="auto"/>
          <w:sz w:val="32"/>
          <w:szCs w:val="32"/>
          <w:highlight w:val="none"/>
        </w:rPr>
        <w:t>000元。</w:t>
      </w:r>
    </w:p>
    <w:p>
      <w:pPr>
        <w:adjustRightInd w:val="0"/>
        <w:snapToGrid w:val="0"/>
        <w:spacing w:line="520" w:lineRule="exact"/>
        <w:ind w:firstLine="640" w:firstLineChars="200"/>
        <w:rPr>
          <w:rFonts w:ascii="仿宋_GB2312" w:eastAsia="仿宋_GB2312" w:cs="仿宋_GB2312"/>
          <w:color w:val="auto"/>
          <w:kern w:val="1"/>
          <w:sz w:val="32"/>
          <w:szCs w:val="32"/>
          <w:highlight w:val="none"/>
        </w:rPr>
      </w:pPr>
      <w:r>
        <w:rPr>
          <w:rFonts w:hint="eastAsia" w:ascii="仿宋_GB2312" w:eastAsia="仿宋_GB2312" w:cs="仿宋_GB2312"/>
          <w:color w:val="auto"/>
          <w:kern w:val="1"/>
          <w:sz w:val="32"/>
          <w:szCs w:val="32"/>
          <w:highlight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价格违法行为行政处罚规定》第二十一条的规定，每日按罚款数额的３％加处罚款；逾期不缴纳违法所得的，每日按违法所得数额的２‰加处罚款，并将依法申请人民法院强制执行。</w:t>
      </w:r>
    </w:p>
    <w:p>
      <w:pPr>
        <w:adjustRightInd w:val="0"/>
        <w:snapToGrid w:val="0"/>
        <w:spacing w:line="520" w:lineRule="exact"/>
        <w:ind w:firstLine="640" w:firstLineChars="200"/>
        <w:rPr>
          <w:rFonts w:ascii="仿宋_GB2312" w:eastAsia="仿宋_GB2312" w:cs="仿宋_GB2312"/>
          <w:color w:val="auto"/>
          <w:kern w:val="1"/>
          <w:sz w:val="32"/>
          <w:szCs w:val="32"/>
          <w:highlight w:val="none"/>
        </w:rPr>
      </w:pPr>
      <w:r>
        <w:rPr>
          <w:rFonts w:hint="eastAsia" w:ascii="仿宋_GB2312" w:eastAsia="仿宋_GB2312" w:cs="仿宋_GB2312"/>
          <w:color w:val="auto"/>
          <w:kern w:val="1"/>
          <w:sz w:val="32"/>
          <w:szCs w:val="32"/>
          <w:highlight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adjustRightInd w:val="0"/>
        <w:snapToGrid w:val="0"/>
        <w:spacing w:line="520" w:lineRule="exact"/>
        <w:ind w:firstLine="640" w:firstLineChars="200"/>
        <w:rPr>
          <w:rFonts w:ascii="Times New Roman" w:hAnsi="Times New Roman" w:eastAsia="仿宋_GB2312" w:cs="仿宋"/>
          <w:color w:val="auto"/>
          <w:sz w:val="32"/>
          <w:szCs w:val="32"/>
          <w:highlight w:val="none"/>
        </w:rPr>
      </w:pPr>
      <w:r>
        <w:rPr>
          <w:rFonts w:hint="eastAsia" w:ascii="仿宋_GB2312" w:eastAsia="仿宋_GB2312" w:cs="仿宋_GB2312"/>
          <w:color w:val="auto"/>
          <w:kern w:val="1"/>
          <w:sz w:val="32"/>
          <w:szCs w:val="32"/>
          <w:highlight w:val="none"/>
        </w:rPr>
        <w:t>依据《企业信息公示暂行条例》等有关规定，本机关将通过市场主体信用信息公示系统、门户网站、专业网站等公示行政处罚信息。如公示的行政处罚信息不准确，当事人可以申请本机关予以更正。</w:t>
      </w:r>
      <w:r>
        <w:rPr>
          <w:rFonts w:ascii="Times New Roman" w:hAnsi="Times New Roman" w:eastAsia="仿宋_GB2312" w:cs="仿宋"/>
          <w:color w:val="auto"/>
          <w:sz w:val="32"/>
          <w:szCs w:val="32"/>
          <w:highlight w:val="none"/>
        </w:rPr>
        <w:t xml:space="preserve">    </w:t>
      </w:r>
    </w:p>
    <w:p>
      <w:pPr>
        <w:adjustRightInd w:val="0"/>
        <w:snapToGrid w:val="0"/>
        <w:spacing w:line="520" w:lineRule="exact"/>
        <w:ind w:firstLine="601"/>
        <w:jc w:val="center"/>
        <w:rPr>
          <w:rFonts w:ascii="Times New Roman" w:hAnsi="Times New Roman" w:eastAsia="仿宋_GB2312" w:cs="仿宋"/>
          <w:color w:val="auto"/>
          <w:sz w:val="32"/>
          <w:szCs w:val="32"/>
          <w:highlight w:val="none"/>
        </w:rPr>
      </w:pPr>
      <w:r>
        <w:rPr>
          <w:rFonts w:ascii="Times New Roman" w:hAnsi="Times New Roman" w:eastAsia="仿宋_GB2312" w:cs="仿宋"/>
          <w:color w:val="auto"/>
          <w:sz w:val="32"/>
          <w:szCs w:val="32"/>
          <w:highlight w:val="none"/>
        </w:rPr>
        <w:t xml:space="preserve">            </w:t>
      </w:r>
    </w:p>
    <w:p>
      <w:pPr>
        <w:adjustRightInd w:val="0"/>
        <w:snapToGrid w:val="0"/>
        <w:spacing w:line="520" w:lineRule="exact"/>
        <w:ind w:firstLine="601"/>
        <w:jc w:val="center"/>
        <w:rPr>
          <w:rFonts w:ascii="Times New Roman" w:hAnsi="Times New Roman" w:eastAsia="仿宋_GB2312" w:cs="仿宋"/>
          <w:color w:val="auto"/>
          <w:sz w:val="32"/>
          <w:szCs w:val="32"/>
          <w:highlight w:val="none"/>
        </w:rPr>
      </w:pPr>
    </w:p>
    <w:p>
      <w:pPr>
        <w:adjustRightInd w:val="0"/>
        <w:snapToGrid w:val="0"/>
        <w:spacing w:line="520" w:lineRule="exact"/>
        <w:ind w:firstLine="601"/>
        <w:jc w:val="center"/>
        <w:rPr>
          <w:rFonts w:ascii="Times New Roman" w:hAnsi="Times New Roman" w:eastAsia="仿宋_GB2312" w:cs="仿宋"/>
          <w:color w:val="auto"/>
          <w:sz w:val="32"/>
          <w:szCs w:val="32"/>
          <w:highlight w:val="none"/>
        </w:rPr>
      </w:pPr>
    </w:p>
    <w:p>
      <w:pPr>
        <w:adjustRightInd w:val="0"/>
        <w:snapToGrid w:val="0"/>
        <w:spacing w:line="520" w:lineRule="exact"/>
        <w:ind w:firstLine="601"/>
        <w:jc w:val="center"/>
        <w:rPr>
          <w:rFonts w:ascii="Times New Roman" w:hAnsi="Times New Roman" w:eastAsia="仿宋_GB2312" w:cs="仿宋"/>
          <w:color w:val="auto"/>
          <w:sz w:val="32"/>
          <w:szCs w:val="32"/>
          <w:highlight w:val="none"/>
        </w:rPr>
      </w:pPr>
    </w:p>
    <w:p>
      <w:pPr>
        <w:adjustRightInd w:val="0"/>
        <w:snapToGrid w:val="0"/>
        <w:spacing w:line="520" w:lineRule="exact"/>
        <w:ind w:firstLine="601"/>
        <w:jc w:val="center"/>
        <w:rPr>
          <w:rFonts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lang w:val="en-US" w:eastAsia="zh-CN"/>
        </w:rPr>
        <w:t xml:space="preserve">     </w:t>
      </w:r>
      <w:r>
        <w:rPr>
          <w:rFonts w:ascii="Times New Roman" w:hAnsi="Times New Roman" w:eastAsia="仿宋_GB2312" w:cs="仿宋"/>
          <w:color w:val="auto"/>
          <w:sz w:val="32"/>
          <w:szCs w:val="32"/>
          <w:highlight w:val="none"/>
        </w:rPr>
        <w:t xml:space="preserve"> </w:t>
      </w:r>
      <w:r>
        <w:rPr>
          <w:rFonts w:hint="eastAsia" w:ascii="Times New Roman" w:hAnsi="Times New Roman" w:eastAsia="仿宋_GB2312" w:cs="仿宋"/>
          <w:color w:val="auto"/>
          <w:sz w:val="32"/>
          <w:szCs w:val="32"/>
          <w:highlight w:val="none"/>
        </w:rPr>
        <w:t>天津市北辰区市场监督管理局</w:t>
      </w:r>
    </w:p>
    <w:p>
      <w:pPr>
        <w:adjustRightInd w:val="0"/>
        <w:snapToGrid w:val="0"/>
        <w:spacing w:line="520" w:lineRule="exact"/>
        <w:ind w:right="640" w:firstLine="600"/>
        <w:jc w:val="center"/>
        <w:rPr>
          <w:rFonts w:ascii="Times New Roman" w:hAnsi="Times New Roman" w:eastAsia="仿宋_GB2312" w:cs="仿宋"/>
          <w:color w:val="auto"/>
          <w:sz w:val="32"/>
          <w:szCs w:val="32"/>
          <w:highlight w:val="none"/>
        </w:rPr>
      </w:pPr>
      <w:r>
        <w:rPr>
          <w:rFonts w:ascii="Times New Roman" w:hAnsi="Times New Roman" w:eastAsia="仿宋_GB2312" w:cs="仿宋"/>
          <w:color w:val="auto"/>
          <w:sz w:val="32"/>
          <w:szCs w:val="32"/>
          <w:highlight w:val="none"/>
        </w:rPr>
        <w:t xml:space="preserve">           202</w:t>
      </w:r>
      <w:r>
        <w:rPr>
          <w:rFonts w:hint="eastAsia" w:ascii="Times New Roman" w:hAnsi="Times New Roman" w:eastAsia="仿宋_GB2312"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rPr>
        <w:t>年</w:t>
      </w:r>
      <w:r>
        <w:rPr>
          <w:rFonts w:hint="eastAsia" w:ascii="Times New Roman" w:hAnsi="Times New Roman" w:eastAsia="仿宋_GB2312"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30</w:t>
      </w:r>
      <w:r>
        <w:rPr>
          <w:rFonts w:hint="eastAsia" w:ascii="Times New Roman" w:hAnsi="Times New Roman" w:eastAsia="仿宋_GB2312" w:cs="仿宋"/>
          <w:color w:val="auto"/>
          <w:sz w:val="32"/>
          <w:szCs w:val="32"/>
          <w:highlight w:val="none"/>
        </w:rPr>
        <w:t>日</w:t>
      </w:r>
    </w:p>
    <w:p>
      <w:pPr>
        <w:wordWrap w:val="0"/>
        <w:snapToGrid w:val="0"/>
        <w:spacing w:line="520" w:lineRule="exact"/>
        <w:rPr>
          <w:rFonts w:hint="eastAsia" w:ascii="黑体" w:hAnsi="黑体" w:eastAsia="黑体" w:cs="黑体"/>
          <w:color w:val="auto"/>
          <w:sz w:val="30"/>
          <w:szCs w:val="30"/>
          <w:highlight w:val="none"/>
          <w:lang w:val="en-US" w:eastAsia="zh-CN"/>
        </w:rPr>
      </w:pPr>
    </w:p>
    <w:p>
      <w:pPr>
        <w:wordWrap w:val="0"/>
        <w:snapToGrid w:val="0"/>
        <w:spacing w:line="520" w:lineRule="exact"/>
        <w:rPr>
          <w:rFonts w:hint="eastAsia" w:ascii="黑体" w:hAnsi="黑体" w:eastAsia="黑体" w:cs="黑体"/>
          <w:color w:val="auto"/>
          <w:sz w:val="30"/>
          <w:szCs w:val="30"/>
          <w:highlight w:val="none"/>
          <w:lang w:val="en-US" w:eastAsia="zh-CN"/>
        </w:rPr>
      </w:pPr>
    </w:p>
    <w:p>
      <w:pPr>
        <w:wordWrap w:val="0"/>
        <w:snapToGrid w:val="0"/>
        <w:spacing w:line="520" w:lineRule="exact"/>
        <w:rPr>
          <w:rFonts w:hint="eastAsia" w:ascii="黑体" w:hAnsi="黑体" w:eastAsia="黑体" w:cs="黑体"/>
          <w:color w:val="auto"/>
          <w:sz w:val="30"/>
          <w:szCs w:val="30"/>
          <w:highlight w:val="none"/>
          <w:lang w:val="en-US" w:eastAsia="zh-CN"/>
        </w:rPr>
      </w:pPr>
    </w:p>
    <w:p>
      <w:pPr>
        <w:wordWrap w:val="0"/>
        <w:snapToGrid w:val="0"/>
        <w:spacing w:line="520" w:lineRule="exact"/>
        <w:rPr>
          <w:rFonts w:hint="eastAsia" w:ascii="黑体" w:hAnsi="黑体" w:eastAsia="黑体" w:cs="黑体"/>
          <w:color w:val="auto"/>
          <w:sz w:val="30"/>
          <w:szCs w:val="30"/>
          <w:highlight w:val="none"/>
          <w:lang w:val="en-US" w:eastAsia="zh-CN"/>
        </w:rPr>
      </w:pPr>
    </w:p>
    <w:p>
      <w:pPr>
        <w:wordWrap w:val="0"/>
        <w:snapToGrid w:val="0"/>
        <w:spacing w:line="520" w:lineRule="exact"/>
        <w:rPr>
          <w:rFonts w:hint="eastAsia" w:ascii="黑体" w:hAnsi="黑体" w:eastAsia="黑体" w:cs="黑体"/>
          <w:color w:val="auto"/>
          <w:sz w:val="30"/>
          <w:szCs w:val="30"/>
          <w:highlight w:val="none"/>
          <w:lang w:val="en-US" w:eastAsia="zh-CN"/>
        </w:rPr>
      </w:pPr>
    </w:p>
    <w:p>
      <w:pPr>
        <w:wordWrap w:val="0"/>
        <w:snapToGrid w:val="0"/>
        <w:spacing w:line="520" w:lineRule="exact"/>
        <w:rPr>
          <w:rFonts w:hint="eastAsia" w:ascii="黑体" w:hAnsi="黑体" w:eastAsia="黑体" w:cs="黑体"/>
          <w:color w:val="auto"/>
          <w:sz w:val="30"/>
          <w:szCs w:val="30"/>
          <w:highlight w:val="none"/>
          <w:lang w:val="en-US" w:eastAsia="zh-CN"/>
        </w:rPr>
      </w:pPr>
    </w:p>
    <w:p>
      <w:pPr>
        <w:wordWrap w:val="0"/>
        <w:snapToGrid w:val="0"/>
        <w:spacing w:line="520" w:lineRule="exact"/>
        <w:rPr>
          <w:rFonts w:hint="eastAsia" w:ascii="黑体" w:hAnsi="黑体" w:eastAsia="黑体" w:cs="黑体"/>
          <w:color w:val="auto"/>
          <w:sz w:val="30"/>
          <w:szCs w:val="30"/>
          <w:highlight w:val="none"/>
          <w:lang w:val="en-US" w:eastAsia="zh-CN"/>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B5"/>
    <w:rsid w:val="003610BE"/>
    <w:rsid w:val="003D76F6"/>
    <w:rsid w:val="006F44B5"/>
    <w:rsid w:val="0070558B"/>
    <w:rsid w:val="0083404E"/>
    <w:rsid w:val="00867B03"/>
    <w:rsid w:val="00B800F2"/>
    <w:rsid w:val="00BD6B36"/>
    <w:rsid w:val="00C65E32"/>
    <w:rsid w:val="00E0404A"/>
    <w:rsid w:val="00FD709B"/>
    <w:rsid w:val="04D842B7"/>
    <w:rsid w:val="08667FE3"/>
    <w:rsid w:val="0C1B56F9"/>
    <w:rsid w:val="0CAE7727"/>
    <w:rsid w:val="23A83589"/>
    <w:rsid w:val="31B10BA9"/>
    <w:rsid w:val="39A12328"/>
    <w:rsid w:val="42656688"/>
    <w:rsid w:val="49D53F35"/>
    <w:rsid w:val="4A3E1789"/>
    <w:rsid w:val="52C870DF"/>
    <w:rsid w:val="574A2330"/>
    <w:rsid w:val="5D241CB8"/>
    <w:rsid w:val="6A692724"/>
    <w:rsid w:val="7B9B4A4D"/>
    <w:rsid w:val="7F38212C"/>
    <w:rsid w:val="9FFFFCC0"/>
    <w:rsid w:val="DFDF0708"/>
    <w:rsid w:val="FDF77EAA"/>
    <w:rsid w:val="FEFB61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locked/>
    <w:uiPriority w:val="99"/>
    <w:rPr>
      <w:rFonts w:cs="Times New Roman"/>
      <w:sz w:val="18"/>
      <w:szCs w:val="18"/>
    </w:rPr>
  </w:style>
  <w:style w:type="character" w:customStyle="1" w:styleId="7">
    <w:name w:val="页眉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278</Words>
  <Characters>1589</Characters>
  <Lines>13</Lines>
  <Paragraphs>3</Paragraphs>
  <TotalTime>0</TotalTime>
  <ScaleCrop>false</ScaleCrop>
  <LinksUpToDate>false</LinksUpToDate>
  <CharactersWithSpaces>1864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2019-04-29T18:44:00Z</dcterms:created>
  <dc:creator>刘航</dc:creator>
  <cp:lastModifiedBy>admin</cp:lastModifiedBy>
  <cp:lastPrinted>2020-01-29T22:08:00Z</cp:lastPrinted>
  <dcterms:modified xsi:type="dcterms:W3CDTF">2023-02-07T14:29:14Z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