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outlineLvl w:val="0"/>
        <w:rPr>
          <w:rFonts w:ascii="方正小标宋简体" w:hAnsi="方正小标宋简体" w:eastAsia="方正小标宋简体" w:cs="方正小标宋简体"/>
          <w:sz w:val="44"/>
          <w:szCs w:val="44"/>
          <w:u w:val="none"/>
        </w:rPr>
      </w:pPr>
      <w:bookmarkStart w:id="0" w:name="_Toc76683363"/>
      <w:bookmarkStart w:id="1" w:name="_Toc27865"/>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276" w:lineRule="auto"/>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276" w:lineRule="auto"/>
        <w:ind w:right="55"/>
        <w:jc w:val="center"/>
        <w:outlineLvl w:val="1"/>
        <w:rPr>
          <w:rFonts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ascii="Times New Roman" w:hAnsi="Times New Roman" w:eastAsia="仿宋_GB2312" w:cs="仿宋_GB2312"/>
          <w:bCs/>
          <w:color w:val="000000"/>
          <w:sz w:val="32"/>
          <w:szCs w:val="32"/>
          <w:u w:val="none"/>
        </w:rPr>
        <w:t>202</w:t>
      </w:r>
      <w:r>
        <w:rPr>
          <w:rFonts w:ascii="Times New Roman" w:hAnsi="Times New Roman" w:eastAsia="仿宋_GB2312" w:cs="仿宋_GB2312"/>
          <w:bCs/>
          <w:color w:val="000000"/>
          <w:sz w:val="32"/>
          <w:szCs w:val="32"/>
          <w:u w:val="none"/>
          <w:lang w:val="en"/>
        </w:rPr>
        <w:t>2</w:t>
      </w:r>
      <w:r>
        <w:rPr>
          <w:rFonts w:hint="eastAsia" w:ascii="Times New Roman" w:hAnsi="仿宋_GB2312" w:eastAsia="仿宋_GB2312" w:cs="仿宋_GB2312"/>
          <w:bCs/>
          <w:color w:val="000000"/>
          <w:sz w:val="32"/>
          <w:szCs w:val="32"/>
          <w:u w:val="none"/>
        </w:rPr>
        <w:t>〕</w:t>
      </w:r>
      <w:r>
        <w:rPr>
          <w:rFonts w:hint="default" w:ascii="Times New Roman" w:hAnsi="仿宋_GB2312" w:eastAsia="仿宋_GB2312" w:cs="仿宋_GB2312"/>
          <w:bCs/>
          <w:color w:val="000000"/>
          <w:sz w:val="32"/>
          <w:szCs w:val="32"/>
          <w:u w:val="none"/>
          <w:lang w:val="en"/>
        </w:rPr>
        <w:t>294</w:t>
      </w:r>
      <w:r>
        <w:rPr>
          <w:rFonts w:hint="eastAsia" w:ascii="Times New Roman" w:hAnsi="仿宋_GB2312" w:eastAsia="仿宋_GB2312" w:cs="仿宋_GB2312"/>
          <w:bCs/>
          <w:color w:val="000000"/>
          <w:sz w:val="32"/>
          <w:szCs w:val="32"/>
          <w:u w:val="none"/>
        </w:rPr>
        <w:t>号</w:t>
      </w:r>
      <w:r>
        <w:rPr>
          <w:rFonts w:hint="eastAsia" w:ascii="Times New Roman" w:hAnsi="Times New Roman" w:eastAsia="仿宋_GB2312" w:cs="Mongolian Baiti"/>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ascii="仿宋_GB2312" w:eastAsia="仿宋_GB2312" w:cs="仿宋_GB2312"/>
          <w:color w:val="000000" w:themeColor="text1"/>
          <w:kern w:val="1"/>
          <w:sz w:val="32"/>
          <w:szCs w:val="32"/>
          <w:u w:val="none"/>
          <w14:textFill>
            <w14:solidFill>
              <w14:schemeClr w14:val="tx1"/>
            </w14:solidFill>
          </w14:textFill>
        </w:rPr>
      </w:pPr>
      <w:r>
        <w:rPr>
          <w:rFonts w:hint="eastAsia" w:ascii="仿宋_GB2312" w:eastAsia="仿宋_GB2312" w:cs="仿宋_GB2312"/>
          <w:color w:val="000000" w:themeColor="text1"/>
          <w:kern w:val="1"/>
          <w:sz w:val="32"/>
          <w:szCs w:val="32"/>
          <w:u w:val="none"/>
          <w14:textFill>
            <w14:solidFill>
              <w14:schemeClr w14:val="tx1"/>
            </w14:solidFill>
          </w14:textFill>
        </w:rPr>
        <w:t>当事人：</w:t>
      </w:r>
      <w:r>
        <w:rPr>
          <w:rFonts w:hint="eastAsia" w:ascii="仿宋_GB2312" w:hAnsi="Times New Roman" w:eastAsia="仿宋_GB2312" w:cs="仿宋_GB2312"/>
          <w:bCs/>
          <w:sz w:val="32"/>
          <w:szCs w:val="32"/>
          <w:u w:val="none"/>
          <w:lang w:eastAsia="zh-CN"/>
        </w:rPr>
        <w:t>天津市北辰区杰铭乔氏桌球厅</w:t>
      </w:r>
      <w:r>
        <w:rPr>
          <w:rFonts w:hint="eastAsia" w:ascii="仿宋_GB2312" w:eastAsia="仿宋_GB2312" w:cs="仿宋_GB2312"/>
          <w:color w:val="000000" w:themeColor="text1"/>
          <w:kern w:val="1"/>
          <w:sz w:val="32"/>
          <w:szCs w:val="32"/>
          <w:u w:val="none"/>
          <w14:textFill>
            <w14:solidFill>
              <w14:schemeClr w14:val="tx1"/>
            </w14:solidFill>
          </w14:textFill>
        </w:rPr>
        <w:t xml:space="preserve">               </w:t>
      </w:r>
    </w:p>
    <w:p>
      <w:pPr>
        <w:spacing w:line="560" w:lineRule="exact"/>
        <w:ind w:left="140" w:hanging="140"/>
        <w:rPr>
          <w:rFonts w:ascii="仿宋_GB2312" w:eastAsia="仿宋_GB2312" w:cs="仿宋_GB2312"/>
          <w:color w:val="000000" w:themeColor="text1"/>
          <w:kern w:val="1"/>
          <w:sz w:val="32"/>
          <w:szCs w:val="32"/>
          <w:u w:val="none"/>
          <w14:textFill>
            <w14:solidFill>
              <w14:schemeClr w14:val="tx1"/>
            </w14:solidFill>
          </w14:textFill>
        </w:rPr>
      </w:pPr>
      <w:r>
        <w:rPr>
          <w:rFonts w:hint="eastAsia" w:ascii="仿宋_GB2312" w:eastAsia="仿宋_GB2312" w:cs="仿宋_GB2312"/>
          <w:color w:val="000000" w:themeColor="text1"/>
          <w:kern w:val="1"/>
          <w:sz w:val="32"/>
          <w:szCs w:val="32"/>
          <w:u w:val="none"/>
          <w14:textFill>
            <w14:solidFill>
              <w14:schemeClr w14:val="tx1"/>
            </w14:solidFill>
          </w14:textFill>
        </w:rPr>
        <w:t xml:space="preserve">主体资格证照名称： 营业执照                                     </w:t>
      </w:r>
    </w:p>
    <w:p>
      <w:pPr>
        <w:spacing w:line="560" w:lineRule="exact"/>
        <w:ind w:left="140" w:hanging="140"/>
        <w:rPr>
          <w:rFonts w:hint="default" w:ascii="仿宋_GB2312" w:eastAsia="仿宋_GB2312" w:cs="仿宋_GB2312"/>
          <w:color w:val="000000" w:themeColor="text1"/>
          <w:kern w:val="1"/>
          <w:sz w:val="32"/>
          <w:szCs w:val="32"/>
          <w:u w:val="none"/>
          <w:lang w:val="en-US"/>
          <w14:textFill>
            <w14:solidFill>
              <w14:schemeClr w14:val="tx1"/>
            </w14:solidFill>
          </w14:textFill>
        </w:rPr>
      </w:pPr>
      <w:r>
        <w:rPr>
          <w:rFonts w:hint="eastAsia" w:ascii="仿宋_GB2312" w:eastAsia="仿宋_GB2312" w:cs="仿宋_GB2312"/>
          <w:color w:val="000000" w:themeColor="text1"/>
          <w:kern w:val="1"/>
          <w:sz w:val="32"/>
          <w:szCs w:val="32"/>
          <w:u w:val="none"/>
          <w:lang w:eastAsia="zh-CN"/>
          <w14:textFill>
            <w14:solidFill>
              <w14:schemeClr w14:val="tx1"/>
            </w14:solidFill>
          </w14:textFill>
        </w:rPr>
        <w:t>统一社会代码</w:t>
      </w:r>
      <w:r>
        <w:rPr>
          <w:rFonts w:hint="eastAsia" w:ascii="仿宋_GB2312" w:eastAsia="仿宋_GB2312" w:cs="仿宋_GB2312"/>
          <w:color w:val="000000" w:themeColor="text1"/>
          <w:kern w:val="1"/>
          <w:sz w:val="32"/>
          <w:szCs w:val="32"/>
          <w:u w:val="none"/>
          <w14:textFill>
            <w14:solidFill>
              <w14:schemeClr w14:val="tx1"/>
            </w14:solidFill>
          </w14:textFill>
        </w:rPr>
        <w:t>：</w:t>
      </w:r>
      <w:r>
        <w:rPr>
          <w:rFonts w:hint="eastAsia" w:ascii="仿宋_GB2312" w:hAnsi="Times New Roman" w:eastAsia="仿宋_GB2312" w:cs="仿宋_GB2312"/>
          <w:bCs/>
          <w:sz w:val="32"/>
          <w:szCs w:val="32"/>
          <w:u w:val="none"/>
          <w:lang w:val="en-US" w:eastAsia="zh-CN"/>
        </w:rPr>
        <w:t>92120113MA0708T18U</w:t>
      </w:r>
    </w:p>
    <w:p>
      <w:pPr>
        <w:spacing w:line="560" w:lineRule="exact"/>
        <w:rPr>
          <w:rFonts w:hint="eastAsia" w:ascii="仿宋_GB2312" w:eastAsia="仿宋_GB2312" w:cs="仿宋_GB2312"/>
          <w:color w:val="000000" w:themeColor="text1"/>
          <w:kern w:val="1"/>
          <w:sz w:val="32"/>
          <w:szCs w:val="32"/>
          <w:u w:val="none"/>
          <w:lang w:val="en-US" w:eastAsia="zh-CN"/>
          <w14:textFill>
            <w14:solidFill>
              <w14:schemeClr w14:val="tx1"/>
            </w14:solidFill>
          </w14:textFill>
        </w:rPr>
      </w:pPr>
      <w:r>
        <w:rPr>
          <w:rFonts w:hint="eastAsia" w:ascii="仿宋_GB2312" w:eastAsia="仿宋_GB2312" w:cs="仿宋_GB2312"/>
          <w:color w:val="000000" w:themeColor="text1"/>
          <w:kern w:val="1"/>
          <w:sz w:val="32"/>
          <w:szCs w:val="32"/>
          <w:u w:val="none"/>
          <w14:textFill>
            <w14:solidFill>
              <w14:schemeClr w14:val="tx1"/>
            </w14:solidFill>
          </w14:textFill>
        </w:rPr>
        <w:t>住所（住址）：</w:t>
      </w:r>
      <w:r>
        <w:rPr>
          <w:rFonts w:hint="eastAsia" w:ascii="仿宋_GB2312" w:eastAsia="仿宋_GB2312" w:cs="仿宋_GB2312"/>
          <w:color w:val="000000" w:themeColor="text1"/>
          <w:kern w:val="1"/>
          <w:sz w:val="32"/>
          <w:szCs w:val="32"/>
          <w:u w:val="none"/>
          <w:lang w:eastAsia="zh-CN"/>
          <w14:textFill>
            <w14:solidFill>
              <w14:schemeClr w14:val="tx1"/>
            </w14:solidFill>
          </w14:textFill>
        </w:rPr>
        <w:t>天津市北辰区双街镇双新大道增</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105、107、109、111、113号二楼</w:t>
      </w:r>
    </w:p>
    <w:p>
      <w:pPr>
        <w:spacing w:line="560" w:lineRule="exact"/>
        <w:rPr>
          <w:rFonts w:ascii="仿宋_GB2312" w:eastAsia="仿宋_GB2312" w:cs="仿宋_GB2312"/>
          <w:color w:val="000000" w:themeColor="text1"/>
          <w:kern w:val="1"/>
          <w:sz w:val="32"/>
          <w:szCs w:val="32"/>
          <w:u w:val="none"/>
          <w14:textFill>
            <w14:solidFill>
              <w14:schemeClr w14:val="tx1"/>
            </w14:solidFill>
          </w14:textFill>
        </w:rPr>
      </w:pP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经营者：韩思珍</w:t>
      </w:r>
      <w:r>
        <w:rPr>
          <w:rFonts w:hint="eastAsia" w:ascii="仿宋_GB2312" w:eastAsia="仿宋_GB2312" w:cs="仿宋_GB2312"/>
          <w:color w:val="000000" w:themeColor="text1"/>
          <w:kern w:val="1"/>
          <w:sz w:val="32"/>
          <w:szCs w:val="32"/>
          <w:u w:val="none"/>
          <w14:textFill>
            <w14:solidFill>
              <w14:schemeClr w14:val="tx1"/>
            </w14:solidFill>
          </w14:textFill>
        </w:rPr>
        <w:t xml:space="preserve">              </w:t>
      </w:r>
      <w:r>
        <w:rPr>
          <w:rFonts w:ascii="仿宋_GB2312" w:eastAsia="仿宋_GB2312" w:cs="仿宋_GB2312"/>
          <w:color w:val="000000" w:themeColor="text1"/>
          <w:kern w:val="1"/>
          <w:sz w:val="32"/>
          <w:szCs w:val="32"/>
          <w:u w:val="none"/>
          <w14:textFill>
            <w14:solidFill>
              <w14:schemeClr w14:val="tx1"/>
            </w14:solidFill>
          </w14:textFill>
        </w:rPr>
        <w:t xml:space="preserve">        </w:t>
      </w:r>
      <w:r>
        <w:rPr>
          <w:rFonts w:hint="eastAsia" w:ascii="仿宋_GB2312" w:eastAsia="仿宋_GB2312" w:cs="仿宋_GB2312"/>
          <w:color w:val="000000" w:themeColor="text1"/>
          <w:kern w:val="1"/>
          <w:sz w:val="32"/>
          <w:szCs w:val="32"/>
          <w:u w:val="none"/>
          <w14:textFill>
            <w14:solidFill>
              <w14:schemeClr w14:val="tx1"/>
            </w14:solidFill>
          </w14:textFill>
        </w:rPr>
        <w:t xml:space="preserve">                                                                       </w:t>
      </w:r>
    </w:p>
    <w:p>
      <w:pPr>
        <w:ind w:firstLine="640" w:firstLineChars="200"/>
        <w:rPr>
          <w:rFonts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lang w:val="en-US" w:eastAsia="zh-CN"/>
        </w:rPr>
        <w:t>2022年4月24日，执法人员发现</w:t>
      </w:r>
      <w:r>
        <w:rPr>
          <w:rFonts w:hint="eastAsia" w:ascii="仿宋_GB2312" w:hAnsi="Times New Roman" w:eastAsia="仿宋_GB2312" w:cs="仿宋_GB2312"/>
          <w:bCs/>
          <w:sz w:val="32"/>
          <w:szCs w:val="32"/>
          <w:u w:val="none"/>
        </w:rPr>
        <w:t>当事人</w:t>
      </w:r>
      <w:r>
        <w:rPr>
          <w:rFonts w:hint="eastAsia" w:ascii="仿宋_GB2312" w:hAnsi="Times New Roman" w:eastAsia="仿宋_GB2312" w:cs="仿宋_GB2312"/>
          <w:bCs/>
          <w:sz w:val="32"/>
          <w:szCs w:val="32"/>
          <w:u w:val="none"/>
          <w:lang w:eastAsia="zh-CN"/>
        </w:rPr>
        <w:t>在明知天津市北辰区疫情防控指挥部发布通告暂停台球室、棋牌室等室内密封公共场所营业的情况下</w:t>
      </w:r>
      <w:r>
        <w:rPr>
          <w:rFonts w:hint="eastAsia" w:ascii="仿宋_GB2312" w:hAnsi="Times New Roman" w:eastAsia="仿宋_GB2312" w:cs="仿宋_GB2312"/>
          <w:bCs/>
          <w:sz w:val="32"/>
          <w:szCs w:val="32"/>
          <w:u w:val="none"/>
          <w:lang w:val="en-US" w:eastAsia="zh-CN"/>
        </w:rPr>
        <w:t>擅自恢复经营。</w:t>
      </w:r>
      <w:r>
        <w:rPr>
          <w:rFonts w:hint="eastAsia" w:ascii="仿宋_GB2312" w:hAnsi="Times New Roman" w:eastAsia="仿宋_GB2312" w:cs="仿宋_GB2312"/>
          <w:bCs/>
          <w:sz w:val="32"/>
          <w:szCs w:val="32"/>
          <w:u w:val="none"/>
        </w:rPr>
        <w:t>202</w:t>
      </w:r>
      <w:r>
        <w:rPr>
          <w:rFonts w:ascii="仿宋_GB2312" w:hAnsi="Times New Roman" w:eastAsia="仿宋_GB2312" w:cs="仿宋_GB2312"/>
          <w:bCs/>
          <w:sz w:val="32"/>
          <w:szCs w:val="32"/>
          <w:u w:val="none"/>
          <w:lang w:val="en"/>
        </w:rPr>
        <w:t>2</w:t>
      </w:r>
      <w:r>
        <w:rPr>
          <w:rFonts w:hint="eastAsia" w:ascii="仿宋_GB2312" w:hAnsi="Times New Roman" w:eastAsia="仿宋_GB2312" w:cs="仿宋_GB2312"/>
          <w:bCs/>
          <w:sz w:val="32"/>
          <w:szCs w:val="32"/>
          <w:u w:val="none"/>
        </w:rPr>
        <w:t>年</w:t>
      </w:r>
      <w:r>
        <w:rPr>
          <w:rFonts w:hint="eastAsia" w:ascii="仿宋_GB2312" w:hAnsi="Times New Roman" w:eastAsia="仿宋_GB2312" w:cs="仿宋_GB2312"/>
          <w:bCs/>
          <w:sz w:val="32"/>
          <w:szCs w:val="32"/>
          <w:u w:val="none"/>
          <w:lang w:val="en-US" w:eastAsia="zh-CN"/>
        </w:rPr>
        <w:t>4</w:t>
      </w:r>
      <w:r>
        <w:rPr>
          <w:rFonts w:hint="eastAsia" w:ascii="仿宋_GB2312" w:hAnsi="Times New Roman" w:eastAsia="仿宋_GB2312" w:cs="仿宋_GB2312"/>
          <w:bCs/>
          <w:sz w:val="32"/>
          <w:szCs w:val="32"/>
          <w:u w:val="none"/>
        </w:rPr>
        <w:t>月</w:t>
      </w:r>
      <w:r>
        <w:rPr>
          <w:rFonts w:hint="eastAsia" w:ascii="仿宋_GB2312" w:hAnsi="Times New Roman" w:eastAsia="仿宋_GB2312" w:cs="仿宋_GB2312"/>
          <w:bCs/>
          <w:sz w:val="32"/>
          <w:szCs w:val="32"/>
          <w:u w:val="none"/>
          <w:lang w:val="en-US" w:eastAsia="zh-CN"/>
        </w:rPr>
        <w:t>24</w:t>
      </w:r>
      <w:r>
        <w:rPr>
          <w:rFonts w:hint="eastAsia" w:ascii="仿宋_GB2312" w:hAnsi="Times New Roman" w:eastAsia="仿宋_GB2312" w:cs="仿宋_GB2312"/>
          <w:bCs/>
          <w:sz w:val="32"/>
          <w:szCs w:val="32"/>
          <w:u w:val="none"/>
        </w:rPr>
        <w:t>日，执法人员报经局领导批准，予以立案调查，未采取行政强制措施，此案现已调查终结。</w:t>
      </w:r>
    </w:p>
    <w:p>
      <w:pPr>
        <w:spacing w:line="560" w:lineRule="exact"/>
        <w:rPr>
          <w:rFonts w:hint="eastAsia" w:ascii="仿宋_GB2312" w:eastAsia="仿宋_GB2312" w:cs="仿宋_GB2312"/>
          <w:color w:val="000000" w:themeColor="text1"/>
          <w:kern w:val="1"/>
          <w:sz w:val="32"/>
          <w:szCs w:val="32"/>
          <w:u w:val="none"/>
          <w:lang w:val="en-US" w:eastAsia="zh-CN"/>
          <w14:textFill>
            <w14:solidFill>
              <w14:schemeClr w14:val="tx1"/>
            </w14:solidFill>
          </w14:textFill>
        </w:rPr>
      </w:pP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 xml:space="preserve">    </w:t>
      </w:r>
      <w:r>
        <w:rPr>
          <w:rFonts w:hint="eastAsia" w:ascii="仿宋_GB2312" w:eastAsia="仿宋_GB2312" w:cs="仿宋_GB2312"/>
          <w:color w:val="000000" w:themeColor="text1"/>
          <w:kern w:val="1"/>
          <w:sz w:val="32"/>
          <w:szCs w:val="32"/>
          <w:u w:val="none"/>
          <w14:textFill>
            <w14:solidFill>
              <w14:schemeClr w14:val="tx1"/>
            </w14:solidFill>
          </w14:textFill>
        </w:rPr>
        <w:t>经查，</w:t>
      </w:r>
      <w:r>
        <w:rPr>
          <w:rFonts w:hint="eastAsia" w:ascii="仿宋_GB2312" w:eastAsia="仿宋_GB2312" w:cs="仿宋_GB2312"/>
          <w:kern w:val="1"/>
          <w:sz w:val="32"/>
          <w:szCs w:val="32"/>
          <w:u w:val="none"/>
        </w:rPr>
        <w:t>当事人于</w:t>
      </w:r>
      <w:r>
        <w:rPr>
          <w:rFonts w:hint="eastAsia" w:ascii="仿宋_GB2312" w:hAnsi="Times New Roman" w:eastAsia="仿宋_GB2312" w:cs="仿宋_GB2312"/>
          <w:bCs/>
          <w:sz w:val="32"/>
          <w:szCs w:val="32"/>
          <w:u w:val="none"/>
        </w:rPr>
        <w:t>20</w:t>
      </w:r>
      <w:r>
        <w:rPr>
          <w:rFonts w:hint="eastAsia" w:ascii="仿宋_GB2312" w:hAnsi="Times New Roman" w:eastAsia="仿宋_GB2312" w:cs="仿宋_GB2312"/>
          <w:bCs/>
          <w:sz w:val="32"/>
          <w:szCs w:val="32"/>
          <w:u w:val="none"/>
          <w:lang w:val="en-US" w:eastAsia="zh-CN"/>
        </w:rPr>
        <w:t>20</w:t>
      </w:r>
      <w:r>
        <w:rPr>
          <w:rFonts w:hint="eastAsia" w:ascii="仿宋_GB2312" w:hAnsi="Times New Roman" w:eastAsia="仿宋_GB2312" w:cs="仿宋_GB2312"/>
          <w:bCs/>
          <w:sz w:val="32"/>
          <w:szCs w:val="32"/>
          <w:u w:val="none"/>
          <w:lang w:val="en"/>
        </w:rPr>
        <w:t>年</w:t>
      </w:r>
      <w:r>
        <w:rPr>
          <w:rFonts w:hint="eastAsia" w:ascii="仿宋_GB2312" w:hAnsi="Times New Roman" w:eastAsia="仿宋_GB2312" w:cs="仿宋_GB2312"/>
          <w:bCs/>
          <w:sz w:val="32"/>
          <w:szCs w:val="32"/>
          <w:u w:val="none"/>
          <w:lang w:val="en-US" w:eastAsia="zh-CN"/>
        </w:rPr>
        <w:t>4</w:t>
      </w:r>
      <w:r>
        <w:rPr>
          <w:rFonts w:hint="eastAsia" w:ascii="仿宋_GB2312" w:hAnsi="Times New Roman" w:eastAsia="仿宋_GB2312" w:cs="仿宋_GB2312"/>
          <w:bCs/>
          <w:sz w:val="32"/>
          <w:szCs w:val="32"/>
          <w:u w:val="none"/>
        </w:rPr>
        <w:t>月</w:t>
      </w:r>
      <w:r>
        <w:rPr>
          <w:rFonts w:hint="eastAsia" w:ascii="仿宋_GB2312" w:hAnsi="Times New Roman" w:eastAsia="仿宋_GB2312" w:cs="仿宋_GB2312"/>
          <w:bCs/>
          <w:sz w:val="32"/>
          <w:szCs w:val="32"/>
          <w:u w:val="none"/>
          <w:lang w:val="en-US" w:eastAsia="zh-CN"/>
        </w:rPr>
        <w:t>16</w:t>
      </w:r>
      <w:r>
        <w:rPr>
          <w:rFonts w:hint="eastAsia" w:ascii="仿宋_GB2312" w:hAnsi="Times New Roman" w:eastAsia="仿宋_GB2312" w:cs="仿宋_GB2312"/>
          <w:bCs/>
          <w:sz w:val="32"/>
          <w:szCs w:val="32"/>
          <w:u w:val="none"/>
        </w:rPr>
        <w:t>日取得营业执照，在</w:t>
      </w:r>
      <w:r>
        <w:rPr>
          <w:rFonts w:hint="eastAsia" w:ascii="仿宋_GB2312" w:hAnsi="Times New Roman" w:eastAsia="仿宋_GB2312" w:cs="仿宋_GB2312"/>
          <w:bCs/>
          <w:sz w:val="32"/>
          <w:szCs w:val="32"/>
          <w:u w:val="none"/>
          <w:lang w:eastAsia="zh-CN"/>
        </w:rPr>
        <w:t>北</w:t>
      </w:r>
      <w:r>
        <w:rPr>
          <w:rFonts w:hint="eastAsia" w:ascii="仿宋_GB2312" w:eastAsia="仿宋_GB2312" w:cs="仿宋_GB2312"/>
          <w:color w:val="000000" w:themeColor="text1"/>
          <w:kern w:val="1"/>
          <w:sz w:val="32"/>
          <w:szCs w:val="32"/>
          <w:u w:val="none"/>
          <w:lang w:eastAsia="zh-CN"/>
          <w14:textFill>
            <w14:solidFill>
              <w14:schemeClr w14:val="tx1"/>
            </w14:solidFill>
          </w14:textFill>
        </w:rPr>
        <w:t>天津市北辰区双街镇双新大道增</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105、107、109、111、113号二楼</w:t>
      </w:r>
    </w:p>
    <w:p>
      <w:pPr>
        <w:keepNext w:val="0"/>
        <w:keepLines w:val="0"/>
        <w:widowControl/>
        <w:suppressLineNumbers w:val="0"/>
        <w:jc w:val="left"/>
        <w:rPr>
          <w:rFonts w:hint="eastAsia" w:ascii="仿宋_GB2312" w:hAnsi="Times New Roman" w:eastAsia="仿宋_GB2312" w:cs="仿宋_GB2312"/>
          <w:bCs/>
          <w:sz w:val="32"/>
          <w:szCs w:val="32"/>
          <w:u w:val="none"/>
          <w:lang w:val="en-US" w:eastAsia="zh-CN"/>
        </w:rPr>
      </w:pPr>
      <w:r>
        <w:rPr>
          <w:rFonts w:hint="eastAsia" w:ascii="仿宋_GB2312" w:hAnsi="Times New Roman" w:eastAsia="仿宋_GB2312" w:cs="仿宋_GB2312"/>
          <w:bCs/>
          <w:sz w:val="32"/>
          <w:szCs w:val="32"/>
          <w:u w:val="none"/>
        </w:rPr>
        <w:t>从</w:t>
      </w:r>
      <w:r>
        <w:rPr>
          <w:rFonts w:hint="eastAsia" w:ascii="仿宋_GB2312" w:hAnsi="Times New Roman" w:eastAsia="仿宋_GB2312" w:cs="仿宋_GB2312"/>
          <w:bCs/>
          <w:sz w:val="32"/>
          <w:szCs w:val="32"/>
          <w:u w:val="none"/>
          <w:lang w:val="en-US" w:eastAsia="zh-CN"/>
        </w:rPr>
        <w:t>事：台球活动；棋牌室服务。2022年3月21日北辰区疫情防控指挥部发布通知：因疫情防控形势，阻断疫情传播，保障全区人民群众的生命安全和身体安全，3月21日起暂停台球厅、网吧等室内封闭公共场所的一切运营活动。2022年</w:t>
      </w:r>
      <w:r>
        <w:rPr>
          <w:rFonts w:hint="default" w:ascii="仿宋_GB2312" w:hAnsi="Times New Roman" w:eastAsia="仿宋_GB2312" w:cs="仿宋_GB2312"/>
          <w:bCs/>
          <w:sz w:val="32"/>
          <w:szCs w:val="32"/>
          <w:u w:val="none"/>
          <w:lang w:val="en" w:eastAsia="zh-CN"/>
        </w:rPr>
        <w:t>4</w:t>
      </w:r>
      <w:r>
        <w:rPr>
          <w:rFonts w:hint="eastAsia" w:ascii="仿宋_GB2312" w:hAnsi="Times New Roman" w:eastAsia="仿宋_GB2312" w:cs="仿宋_GB2312"/>
          <w:bCs/>
          <w:sz w:val="32"/>
          <w:szCs w:val="32"/>
          <w:u w:val="none"/>
          <w:lang w:val="en-US" w:eastAsia="zh-CN"/>
        </w:rPr>
        <w:t>月</w:t>
      </w:r>
      <w:r>
        <w:rPr>
          <w:rFonts w:hint="default" w:ascii="仿宋_GB2312" w:hAnsi="Times New Roman" w:eastAsia="仿宋_GB2312" w:cs="仿宋_GB2312"/>
          <w:bCs/>
          <w:sz w:val="32"/>
          <w:szCs w:val="32"/>
          <w:u w:val="none"/>
          <w:lang w:val="en" w:eastAsia="zh-CN"/>
        </w:rPr>
        <w:t>2</w:t>
      </w:r>
      <w:r>
        <w:rPr>
          <w:rFonts w:hint="eastAsia" w:ascii="仿宋_GB2312" w:hAnsi="Times New Roman" w:eastAsia="仿宋_GB2312" w:cs="仿宋_GB2312"/>
          <w:bCs/>
          <w:sz w:val="32"/>
          <w:szCs w:val="32"/>
          <w:u w:val="none"/>
          <w:lang w:val="en-US" w:eastAsia="zh-CN"/>
        </w:rPr>
        <w:t>3日当事</w:t>
      </w:r>
      <w:r>
        <w:rPr>
          <w:rFonts w:hint="eastAsia" w:ascii="仿宋_GB2312" w:hAnsi="Times New Roman" w:eastAsia="仿宋_GB2312" w:cs="仿宋_GB2312"/>
          <w:bCs/>
          <w:sz w:val="32"/>
          <w:szCs w:val="32"/>
          <w:u w:val="none"/>
        </w:rPr>
        <w:t>人</w:t>
      </w:r>
      <w:r>
        <w:rPr>
          <w:rFonts w:hint="eastAsia" w:ascii="仿宋_GB2312" w:hAnsi="Times New Roman" w:eastAsia="仿宋_GB2312" w:cs="仿宋_GB2312"/>
          <w:bCs/>
          <w:sz w:val="32"/>
          <w:szCs w:val="32"/>
          <w:u w:val="none"/>
          <w:lang w:eastAsia="zh-CN"/>
        </w:rPr>
        <w:t>擅自开业经营</w:t>
      </w:r>
      <w:r>
        <w:rPr>
          <w:rFonts w:hint="eastAsia"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lang w:eastAsia="zh-CN"/>
        </w:rPr>
        <w:t>执法人员</w:t>
      </w:r>
      <w:r>
        <w:rPr>
          <w:rFonts w:hint="eastAsia" w:ascii="仿宋_GB2312" w:hAnsi="Times New Roman" w:eastAsia="仿宋_GB2312" w:cs="仿宋_GB2312"/>
          <w:bCs/>
          <w:sz w:val="32"/>
          <w:szCs w:val="32"/>
          <w:u w:val="none"/>
          <w:lang w:val="en-US" w:eastAsia="zh-CN"/>
        </w:rPr>
        <w:t>2022年4月24日对该店检查时发现当事人正在经营，当事人开业1天尚未盈利。因拒不执行紧急状态下的决定、命令，2022年4月26日天津市公安局北辰分局对当事人处以拘留十日的行政处罚。当事人在新冠疫情期间，不落实政府紧急规定，提供</w:t>
      </w:r>
      <w:r>
        <w:rPr>
          <w:rFonts w:hint="eastAsia" w:ascii="仿宋_GB2312" w:hAnsi="Times New Roman" w:eastAsia="仿宋_GB2312" w:cs="仿宋_GB2312"/>
          <w:bCs/>
          <w:sz w:val="32"/>
          <w:szCs w:val="32"/>
          <w:u w:val="none"/>
          <w:lang w:eastAsia="zh-CN"/>
        </w:rPr>
        <w:t>台球、棋牌室</w:t>
      </w:r>
      <w:r>
        <w:rPr>
          <w:rFonts w:hint="eastAsia" w:ascii="仿宋_GB2312" w:hAnsi="Times New Roman" w:eastAsia="仿宋_GB2312" w:cs="仿宋_GB2312"/>
          <w:bCs/>
          <w:sz w:val="32"/>
          <w:szCs w:val="32"/>
          <w:u w:val="none"/>
          <w:lang w:val="en-US" w:eastAsia="zh-CN"/>
        </w:rPr>
        <w:t>等娱乐活动，不符合保障消费者人身安全的要求。期间未盈利，无违法所得，上述行为符合提供的商品或者服务不符合保障人身、财产安全要求的构成要件。</w:t>
      </w:r>
    </w:p>
    <w:p>
      <w:pPr>
        <w:spacing w:line="560" w:lineRule="exact"/>
        <w:ind w:firstLine="640" w:firstLineChars="200"/>
        <w:rPr>
          <w:rFonts w:ascii="仿宋_GB2312" w:eastAsia="仿宋_GB2312" w:cs="仿宋_GB2312"/>
          <w:color w:val="000000" w:themeColor="text1"/>
          <w:kern w:val="1"/>
          <w:sz w:val="32"/>
          <w:szCs w:val="32"/>
          <w:u w:val="none"/>
          <w14:textFill>
            <w14:solidFill>
              <w14:schemeClr w14:val="tx1"/>
            </w14:solidFill>
          </w14:textFill>
        </w:rPr>
      </w:pPr>
      <w:r>
        <w:rPr>
          <w:rFonts w:ascii="仿宋_GB2312" w:eastAsia="仿宋_GB2312" w:cs="仿宋_GB2312"/>
          <w:color w:val="000000" w:themeColor="text1"/>
          <w:kern w:val="1"/>
          <w:sz w:val="32"/>
          <w:szCs w:val="32"/>
          <w:u w:val="none"/>
          <w14:textFill>
            <w14:solidFill>
              <w14:schemeClr w14:val="tx1"/>
            </w14:solidFill>
          </w14:textFill>
        </w:rPr>
        <w:t>上述事实，主要有以下证据证明：</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1、营业执照复印件</w:t>
      </w:r>
      <w:r>
        <w:rPr>
          <w:rFonts w:ascii="仿宋_GB2312" w:eastAsia="仿宋_GB2312"/>
          <w:sz w:val="32"/>
          <w:szCs w:val="32"/>
          <w:u w:val="none"/>
        </w:rPr>
        <w:t>、</w:t>
      </w:r>
      <w:r>
        <w:rPr>
          <w:rFonts w:hint="eastAsia" w:ascii="仿宋_GB2312" w:eastAsia="仿宋_GB2312"/>
          <w:sz w:val="32"/>
          <w:szCs w:val="32"/>
          <w:u w:val="none"/>
        </w:rPr>
        <w:t>身份证复印件，证明当事人的主体资格；</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2、询问</w:t>
      </w:r>
      <w:r>
        <w:rPr>
          <w:rFonts w:ascii="仿宋_GB2312" w:eastAsia="仿宋_GB2312"/>
          <w:sz w:val="32"/>
          <w:szCs w:val="32"/>
          <w:u w:val="none"/>
        </w:rPr>
        <w:t>笔录</w:t>
      </w:r>
      <w:r>
        <w:rPr>
          <w:rFonts w:hint="eastAsia" w:ascii="仿宋_GB2312" w:eastAsia="仿宋_GB2312"/>
          <w:sz w:val="32"/>
          <w:szCs w:val="32"/>
          <w:u w:val="none"/>
        </w:rPr>
        <w:t>，</w:t>
      </w:r>
      <w:r>
        <w:rPr>
          <w:rFonts w:ascii="仿宋_GB2312" w:eastAsia="仿宋_GB2312"/>
          <w:sz w:val="32"/>
          <w:szCs w:val="32"/>
          <w:u w:val="none"/>
        </w:rPr>
        <w:t>证明</w:t>
      </w:r>
      <w:r>
        <w:rPr>
          <w:rFonts w:hint="eastAsia" w:ascii="仿宋_GB2312" w:eastAsia="仿宋_GB2312"/>
          <w:sz w:val="32"/>
          <w:szCs w:val="32"/>
          <w:u w:val="none"/>
        </w:rPr>
        <w:t>当事人</w:t>
      </w:r>
      <w:r>
        <w:rPr>
          <w:rFonts w:hint="eastAsia" w:ascii="仿宋_GB2312" w:hAnsi="Times New Roman" w:eastAsia="仿宋_GB2312" w:cs="仿宋_GB2312"/>
          <w:bCs/>
          <w:sz w:val="32"/>
          <w:szCs w:val="32"/>
          <w:u w:val="none"/>
          <w:lang w:val="en-US" w:eastAsia="zh-CN"/>
        </w:rPr>
        <w:t>提供的商品或者服务不符合保障人身、财产安全要求的事实</w:t>
      </w:r>
      <w:r>
        <w:rPr>
          <w:rFonts w:hint="eastAsia" w:ascii="仿宋_GB2312" w:hAnsi="Times New Roman" w:eastAsia="仿宋_GB2312" w:cs="仿宋_GB2312"/>
          <w:bCs/>
          <w:sz w:val="32"/>
          <w:szCs w:val="32"/>
          <w:u w:val="none"/>
        </w:rPr>
        <w:t>；</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3、现场笔录、现场照片，证明</w:t>
      </w:r>
      <w:r>
        <w:rPr>
          <w:rFonts w:hint="eastAsia" w:ascii="仿宋_GB2312" w:hAnsi="Times New Roman" w:eastAsia="仿宋_GB2312" w:cs="仿宋_GB2312"/>
          <w:bCs/>
          <w:sz w:val="32"/>
          <w:szCs w:val="32"/>
          <w:u w:val="none"/>
          <w:lang w:val="en-US" w:eastAsia="zh-CN"/>
        </w:rPr>
        <w:t>提供的商品或者服务不符合保障人身、财产安全要求的事实</w:t>
      </w:r>
      <w:r>
        <w:rPr>
          <w:rFonts w:hint="eastAsia" w:ascii="仿宋_GB2312" w:hAnsi="Times New Roman" w:eastAsia="仿宋_GB2312" w:cs="仿宋_GB2312"/>
          <w:bCs/>
          <w:sz w:val="32"/>
          <w:szCs w:val="32"/>
          <w:u w:val="none"/>
        </w:rPr>
        <w:t>；</w:t>
      </w:r>
    </w:p>
    <w:p>
      <w:pPr>
        <w:spacing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sz w:val="32"/>
          <w:szCs w:val="32"/>
          <w:u w:val="none"/>
        </w:rPr>
        <w:t>4、</w:t>
      </w:r>
      <w:r>
        <w:rPr>
          <w:rFonts w:hint="eastAsia" w:ascii="仿宋_GB2312" w:eastAsia="仿宋_GB2312"/>
          <w:sz w:val="32"/>
          <w:szCs w:val="32"/>
          <w:u w:val="none"/>
          <w:lang w:eastAsia="zh-CN"/>
        </w:rPr>
        <w:t>天津市北辰区人民政府官网通知、微北辰公众号通知</w:t>
      </w:r>
      <w:r>
        <w:rPr>
          <w:rFonts w:hint="eastAsia" w:ascii="仿宋_GB2312" w:eastAsia="仿宋_GB2312"/>
          <w:sz w:val="32"/>
          <w:szCs w:val="32"/>
          <w:u w:val="none"/>
        </w:rPr>
        <w:t>，证明</w:t>
      </w:r>
      <w:r>
        <w:rPr>
          <w:rFonts w:hint="eastAsia" w:ascii="仿宋_GB2312" w:hAnsi="Times New Roman" w:eastAsia="仿宋_GB2312" w:cs="仿宋_GB2312"/>
          <w:bCs/>
          <w:sz w:val="32"/>
          <w:szCs w:val="32"/>
          <w:u w:val="none"/>
          <w:lang w:eastAsia="zh-CN"/>
        </w:rPr>
        <w:t>天津市北辰区疫情防控指挥部发布通告暂停台球室、棋牌室等室内密封公共场所营业</w:t>
      </w:r>
      <w:r>
        <w:rPr>
          <w:rFonts w:hint="eastAsia" w:ascii="仿宋_GB2312" w:hAnsi="Times New Roman" w:eastAsia="仿宋_GB2312" w:cs="仿宋_GB2312"/>
          <w:bCs/>
          <w:sz w:val="32"/>
          <w:szCs w:val="32"/>
          <w:u w:val="none"/>
        </w:rPr>
        <w:t>；</w:t>
      </w:r>
    </w:p>
    <w:p>
      <w:pPr>
        <w:snapToGrid w:val="0"/>
        <w:spacing w:line="560" w:lineRule="exact"/>
        <w:ind w:left="105" w:leftChars="50" w:firstLine="537" w:firstLineChars="168"/>
        <w:rPr>
          <w:rFonts w:ascii="仿宋_GB2312" w:eastAsia="仿宋_GB2312" w:cs="仿宋_GB2312"/>
          <w:color w:val="000000" w:themeColor="text1"/>
          <w:kern w:val="1"/>
          <w:sz w:val="32"/>
          <w:szCs w:val="32"/>
          <w:u w:val="none"/>
          <w14:textFill>
            <w14:solidFill>
              <w14:schemeClr w14:val="tx1"/>
            </w14:solidFill>
          </w14:textFill>
        </w:rPr>
      </w:pPr>
      <w:r>
        <w:rPr>
          <w:rFonts w:hint="eastAsia" w:ascii="仿宋_GB2312" w:eastAsia="仿宋_GB2312" w:cs="仿宋_GB2312"/>
          <w:color w:val="000000" w:themeColor="text1"/>
          <w:kern w:val="1"/>
          <w:sz w:val="32"/>
          <w:szCs w:val="32"/>
          <w:u w:val="none"/>
          <w14:textFill>
            <w14:solidFill>
              <w14:schemeClr w14:val="tx1"/>
            </w14:solidFill>
          </w14:textFill>
        </w:rPr>
        <w:t>本局于</w:t>
      </w:r>
      <w:r>
        <w:rPr>
          <w:rFonts w:ascii="仿宋_GB2312" w:eastAsia="仿宋_GB2312" w:cs="仿宋_GB2312"/>
          <w:color w:val="000000" w:themeColor="text1"/>
          <w:kern w:val="1"/>
          <w:sz w:val="32"/>
          <w:szCs w:val="32"/>
          <w:u w:val="none"/>
          <w14:textFill>
            <w14:solidFill>
              <w14:schemeClr w14:val="tx1"/>
            </w14:solidFill>
          </w14:textFill>
        </w:rPr>
        <w:t>202</w:t>
      </w:r>
      <w:r>
        <w:rPr>
          <w:rFonts w:ascii="仿宋_GB2312" w:eastAsia="仿宋_GB2312" w:cs="仿宋_GB2312"/>
          <w:color w:val="000000" w:themeColor="text1"/>
          <w:kern w:val="1"/>
          <w:sz w:val="32"/>
          <w:szCs w:val="32"/>
          <w:u w:val="none"/>
          <w:lang w:val="en"/>
          <w14:textFill>
            <w14:solidFill>
              <w14:schemeClr w14:val="tx1"/>
            </w14:solidFill>
          </w14:textFill>
        </w:rPr>
        <w:t>2</w:t>
      </w:r>
      <w:r>
        <w:rPr>
          <w:rFonts w:hint="eastAsia" w:ascii="仿宋_GB2312" w:eastAsia="仿宋_GB2312" w:cs="仿宋_GB2312"/>
          <w:color w:val="000000" w:themeColor="text1"/>
          <w:kern w:val="1"/>
          <w:sz w:val="32"/>
          <w:szCs w:val="32"/>
          <w:u w:val="none"/>
          <w14:textFill>
            <w14:solidFill>
              <w14:schemeClr w14:val="tx1"/>
            </w14:solidFill>
          </w14:textFill>
        </w:rPr>
        <w:t>年</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5</w:t>
      </w:r>
      <w:r>
        <w:rPr>
          <w:rFonts w:hint="eastAsia" w:ascii="仿宋_GB2312" w:eastAsia="仿宋_GB2312" w:cs="仿宋_GB2312"/>
          <w:color w:val="000000" w:themeColor="text1"/>
          <w:kern w:val="1"/>
          <w:sz w:val="32"/>
          <w:szCs w:val="32"/>
          <w:u w:val="none"/>
          <w14:textFill>
            <w14:solidFill>
              <w14:schemeClr w14:val="tx1"/>
            </w14:solidFill>
          </w14:textFill>
        </w:rPr>
        <w:t>月</w:t>
      </w:r>
      <w:r>
        <w:rPr>
          <w:rFonts w:ascii="仿宋_GB2312" w:eastAsia="仿宋_GB2312" w:cs="仿宋_GB2312"/>
          <w:color w:val="000000" w:themeColor="text1"/>
          <w:kern w:val="1"/>
          <w:sz w:val="32"/>
          <w:szCs w:val="32"/>
          <w:u w:val="none"/>
          <w:lang w:val="en"/>
          <w14:textFill>
            <w14:solidFill>
              <w14:schemeClr w14:val="tx1"/>
            </w14:solidFill>
          </w14:textFill>
        </w:rPr>
        <w:t>1</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3</w:t>
      </w:r>
      <w:r>
        <w:rPr>
          <w:rFonts w:hint="eastAsia" w:ascii="仿宋_GB2312" w:eastAsia="仿宋_GB2312" w:cs="仿宋_GB2312"/>
          <w:color w:val="000000" w:themeColor="text1"/>
          <w:kern w:val="1"/>
          <w:sz w:val="32"/>
          <w:szCs w:val="32"/>
          <w:u w:val="none"/>
          <w14:textFill>
            <w14:solidFill>
              <w14:schemeClr w14:val="tx1"/>
            </w14:solidFill>
          </w14:textFill>
        </w:rPr>
        <w:t>日依法向当事人送达了《行政处罚告知书》（津辰市监罚告〔</w:t>
      </w:r>
      <w:r>
        <w:rPr>
          <w:rFonts w:ascii="仿宋_GB2312" w:eastAsia="仿宋_GB2312" w:cs="仿宋_GB2312"/>
          <w:color w:val="000000" w:themeColor="text1"/>
          <w:kern w:val="1"/>
          <w:sz w:val="32"/>
          <w:szCs w:val="32"/>
          <w:u w:val="none"/>
          <w14:textFill>
            <w14:solidFill>
              <w14:schemeClr w14:val="tx1"/>
            </w14:solidFill>
          </w14:textFill>
        </w:rPr>
        <w:t>202</w:t>
      </w:r>
      <w:r>
        <w:rPr>
          <w:rFonts w:ascii="仿宋_GB2312" w:eastAsia="仿宋_GB2312" w:cs="仿宋_GB2312"/>
          <w:color w:val="000000" w:themeColor="text1"/>
          <w:kern w:val="1"/>
          <w:sz w:val="32"/>
          <w:szCs w:val="32"/>
          <w:u w:val="none"/>
          <w:lang w:val="en"/>
          <w14:textFill>
            <w14:solidFill>
              <w14:schemeClr w14:val="tx1"/>
            </w14:solidFill>
          </w14:textFill>
        </w:rPr>
        <w:t>2</w:t>
      </w:r>
      <w:r>
        <w:rPr>
          <w:rFonts w:hint="eastAsia" w:ascii="仿宋_GB2312" w:eastAsia="仿宋_GB2312" w:cs="仿宋_GB2312"/>
          <w:color w:val="000000" w:themeColor="text1"/>
          <w:kern w:val="1"/>
          <w:sz w:val="32"/>
          <w:szCs w:val="32"/>
          <w:u w:val="none"/>
          <w14:textFill>
            <w14:solidFill>
              <w14:schemeClr w14:val="tx1"/>
            </w14:solidFill>
          </w14:textFill>
        </w:rPr>
        <w:t>〕</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294</w:t>
      </w:r>
      <w:r>
        <w:rPr>
          <w:rFonts w:hint="eastAsia" w:ascii="仿宋_GB2312" w:eastAsia="仿宋_GB2312" w:cs="仿宋_GB2312"/>
          <w:color w:val="000000" w:themeColor="text1"/>
          <w:kern w:val="1"/>
          <w:sz w:val="32"/>
          <w:szCs w:val="32"/>
          <w:u w:val="none"/>
          <w14:textFill>
            <w14:solidFill>
              <w14:schemeClr w14:val="tx1"/>
            </w14:solidFill>
          </w14:textFill>
        </w:rPr>
        <w:t>号），当事人没有陈述申辩意见。</w:t>
      </w:r>
    </w:p>
    <w:p>
      <w:pPr>
        <w:keepNext w:val="0"/>
        <w:keepLines w:val="0"/>
        <w:widowControl/>
        <w:suppressLineNumbers w:val="0"/>
        <w:jc w:val="left"/>
        <w:rPr>
          <w:rFonts w:hint="eastAsia" w:ascii="仿宋_GB2312" w:eastAsia="仿宋_GB2312"/>
          <w:bCs/>
          <w:sz w:val="32"/>
          <w:szCs w:val="32"/>
          <w:u w:val="none"/>
        </w:rPr>
      </w:pP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 xml:space="preserve">     </w:t>
      </w:r>
      <w:r>
        <w:rPr>
          <w:rFonts w:hint="eastAsia" w:ascii="仿宋_GB2312" w:eastAsia="仿宋_GB2312" w:cs="仿宋_GB2312"/>
          <w:color w:val="000000" w:themeColor="text1"/>
          <w:kern w:val="1"/>
          <w:sz w:val="32"/>
          <w:szCs w:val="32"/>
          <w:u w:val="none"/>
          <w14:textFill>
            <w14:solidFill>
              <w14:schemeClr w14:val="tx1"/>
            </w14:solidFill>
          </w14:textFill>
        </w:rPr>
        <w:t>本局认为，</w:t>
      </w:r>
      <w:r>
        <w:rPr>
          <w:rFonts w:hint="eastAsia" w:ascii="仿宋_GB2312" w:eastAsia="仿宋_GB2312"/>
          <w:bCs/>
          <w:sz w:val="32"/>
          <w:szCs w:val="32"/>
          <w:u w:val="none"/>
        </w:rPr>
        <w:t>当事人上述行为违反了《</w:t>
      </w:r>
      <w:r>
        <w:rPr>
          <w:rFonts w:hint="eastAsia" w:ascii="仿宋_GB2312" w:eastAsia="仿宋_GB2312"/>
          <w:bCs/>
          <w:sz w:val="32"/>
          <w:szCs w:val="32"/>
          <w:u w:val="none"/>
          <w:lang w:eastAsia="zh-CN"/>
        </w:rPr>
        <w:t>中华人民共和国消费者权益保护法</w:t>
      </w:r>
      <w:r>
        <w:rPr>
          <w:rFonts w:hint="eastAsia" w:ascii="仿宋_GB2312" w:eastAsia="仿宋_GB2312"/>
          <w:bCs/>
          <w:sz w:val="32"/>
          <w:szCs w:val="32"/>
          <w:u w:val="none"/>
        </w:rPr>
        <w:t>》第</w:t>
      </w:r>
      <w:r>
        <w:rPr>
          <w:rFonts w:hint="eastAsia" w:ascii="仿宋_GB2312" w:eastAsia="仿宋_GB2312"/>
          <w:bCs/>
          <w:sz w:val="32"/>
          <w:szCs w:val="32"/>
          <w:u w:val="none"/>
          <w:lang w:eastAsia="zh-CN"/>
        </w:rPr>
        <w:t>十八</w:t>
      </w:r>
      <w:r>
        <w:rPr>
          <w:rFonts w:hint="eastAsia" w:ascii="仿宋_GB2312" w:eastAsia="仿宋_GB2312"/>
          <w:bCs/>
          <w:sz w:val="32"/>
          <w:szCs w:val="32"/>
          <w:u w:val="none"/>
        </w:rPr>
        <w:t>条</w:t>
      </w:r>
      <w:r>
        <w:rPr>
          <w:rFonts w:hint="eastAsia" w:ascii="仿宋_GB2312" w:eastAsia="仿宋_GB2312"/>
          <w:bCs/>
          <w:sz w:val="32"/>
          <w:szCs w:val="32"/>
          <w:u w:val="none"/>
          <w:lang w:eastAsia="zh-CN"/>
        </w:rPr>
        <w:t>第一款</w:t>
      </w:r>
      <w:r>
        <w:rPr>
          <w:rFonts w:hint="eastAsia" w:ascii="仿宋_GB2312" w:eastAsia="仿宋_GB2312"/>
          <w:bCs/>
          <w:sz w:val="32"/>
          <w:szCs w:val="32"/>
          <w:u w:val="none"/>
        </w:rPr>
        <w:t>“</w:t>
      </w:r>
      <w:r>
        <w:rPr>
          <w:rFonts w:hint="eastAsia" w:ascii="仿宋_GB2312" w:eastAsia="仿宋_GB2312"/>
          <w:bCs/>
          <w:sz w:val="32"/>
          <w:szCs w:val="32"/>
          <w:u w:val="none"/>
          <w:lang w:val="en-US" w:eastAsia="zh-CN"/>
        </w:rPr>
        <w:t>经营者应当保证其提供的商品或者服务符合保障人身、财产安全的要求。对可能危及人身、财产安全的商品和服务，应当向消费者作出真实的说明和明确的警示，并说明和标明正确使用商品或者接受服务的方法以及防止危害发生的方法。</w:t>
      </w:r>
      <w:r>
        <w:rPr>
          <w:rFonts w:hint="eastAsia" w:ascii="仿宋_GB2312" w:eastAsia="仿宋_GB2312"/>
          <w:bCs/>
          <w:sz w:val="32"/>
          <w:szCs w:val="32"/>
          <w:u w:val="none"/>
        </w:rPr>
        <w:t>”的规定。</w:t>
      </w:r>
    </w:p>
    <w:p>
      <w:pPr>
        <w:snapToGrid w:val="0"/>
        <w:spacing w:line="560" w:lineRule="exact"/>
        <w:ind w:firstLine="640" w:firstLineChars="200"/>
        <w:rPr>
          <w:rFonts w:ascii="仿宋_GB2312" w:eastAsia="仿宋_GB2312" w:cs="仿宋_GB2312"/>
          <w:color w:val="000000" w:themeColor="text1"/>
          <w:kern w:val="1"/>
          <w:sz w:val="32"/>
          <w:szCs w:val="32"/>
          <w:u w:val="none"/>
          <w14:textFill>
            <w14:solidFill>
              <w14:schemeClr w14:val="tx1"/>
            </w14:solidFill>
          </w14:textFill>
        </w:rPr>
      </w:pPr>
      <w:r>
        <w:rPr>
          <w:rFonts w:hint="eastAsia" w:ascii="仿宋_GB2312" w:eastAsia="仿宋_GB2312" w:cs="仿宋_GB2312"/>
          <w:color w:val="000000" w:themeColor="text1"/>
          <w:kern w:val="1"/>
          <w:sz w:val="32"/>
          <w:szCs w:val="32"/>
          <w:u w:val="none"/>
          <w14:textFill>
            <w14:solidFill>
              <w14:schemeClr w14:val="tx1"/>
            </w14:solidFill>
          </w14:textFill>
        </w:rPr>
        <w:t>自由裁量理由等其他需要说明的事项：</w:t>
      </w:r>
      <w:r>
        <w:rPr>
          <w:rFonts w:hint="eastAsia" w:ascii="仿宋_GB2312" w:eastAsia="仿宋_GB2312"/>
          <w:bCs/>
          <w:sz w:val="32"/>
          <w:szCs w:val="32"/>
          <w:u w:val="none"/>
        </w:rPr>
        <w:t>鉴于当事人在本案调查过程中，能够积极配合案件调查，尚未发现造成严重危害后果，应依据《天津市市场和质量监督管理委员会行政处罚裁量适用规则》第十三条第</w:t>
      </w:r>
      <w:r>
        <w:rPr>
          <w:rFonts w:hint="eastAsia" w:ascii="仿宋_GB2312" w:eastAsia="仿宋_GB2312"/>
          <w:bCs/>
          <w:sz w:val="32"/>
          <w:szCs w:val="32"/>
          <w:u w:val="none"/>
          <w:lang w:eastAsia="zh-CN"/>
        </w:rPr>
        <w:t>（</w:t>
      </w:r>
      <w:r>
        <w:rPr>
          <w:rFonts w:hint="eastAsia" w:ascii="仿宋_GB2312" w:eastAsia="仿宋_GB2312"/>
          <w:bCs/>
          <w:sz w:val="32"/>
          <w:szCs w:val="32"/>
          <w:u w:val="none"/>
        </w:rPr>
        <w:t>五</w:t>
      </w:r>
      <w:r>
        <w:rPr>
          <w:rFonts w:hint="eastAsia" w:ascii="仿宋_GB2312" w:eastAsia="仿宋_GB2312"/>
          <w:bCs/>
          <w:sz w:val="32"/>
          <w:szCs w:val="32"/>
          <w:u w:val="none"/>
          <w:lang w:eastAsia="zh-CN"/>
        </w:rPr>
        <w:t>）</w:t>
      </w:r>
      <w:r>
        <w:rPr>
          <w:rFonts w:hint="eastAsia" w:ascii="仿宋_GB2312" w:eastAsia="仿宋_GB2312"/>
          <w:bCs/>
          <w:sz w:val="32"/>
          <w:szCs w:val="32"/>
          <w:u w:val="none"/>
        </w:rPr>
        <w:t>项的规定予以</w:t>
      </w:r>
      <w:r>
        <w:rPr>
          <w:rFonts w:hint="eastAsia" w:ascii="仿宋_GB2312" w:eastAsia="仿宋_GB2312"/>
          <w:bCs/>
          <w:sz w:val="32"/>
          <w:szCs w:val="32"/>
          <w:u w:val="none"/>
          <w:lang w:eastAsia="zh-CN"/>
        </w:rPr>
        <w:t>从</w:t>
      </w:r>
      <w:r>
        <w:rPr>
          <w:rFonts w:hint="eastAsia" w:ascii="仿宋_GB2312" w:eastAsia="仿宋_GB2312"/>
          <w:bCs/>
          <w:sz w:val="32"/>
          <w:szCs w:val="32"/>
          <w:u w:val="none"/>
        </w:rPr>
        <w:t>轻处罚。</w:t>
      </w:r>
    </w:p>
    <w:p>
      <w:pPr>
        <w:keepNext w:val="0"/>
        <w:keepLines w:val="0"/>
        <w:widowControl/>
        <w:suppressLineNumbers w:val="0"/>
        <w:jc w:val="left"/>
        <w:rPr>
          <w:rFonts w:ascii="仿宋_GB2312" w:eastAsia="仿宋_GB2312"/>
          <w:sz w:val="32"/>
          <w:szCs w:val="32"/>
          <w:u w:val="none"/>
        </w:rPr>
      </w:pPr>
      <w:r>
        <w:rPr>
          <w:rFonts w:hint="eastAsia" w:ascii="仿宋_GB2312" w:eastAsia="仿宋_GB2312"/>
          <w:bCs/>
          <w:sz w:val="32"/>
          <w:szCs w:val="32"/>
          <w:u w:val="none"/>
          <w:lang w:val="en-US" w:eastAsia="zh-CN"/>
        </w:rPr>
        <w:t xml:space="preserve">     </w:t>
      </w:r>
      <w:r>
        <w:rPr>
          <w:rFonts w:hint="eastAsia" w:ascii="仿宋_GB2312" w:eastAsia="仿宋_GB2312"/>
          <w:bCs/>
          <w:sz w:val="32"/>
          <w:szCs w:val="32"/>
          <w:u w:val="none"/>
        </w:rPr>
        <w:t>依据《</w:t>
      </w:r>
      <w:r>
        <w:rPr>
          <w:rFonts w:hint="eastAsia" w:ascii="仿宋_GB2312" w:eastAsia="仿宋_GB2312"/>
          <w:bCs/>
          <w:sz w:val="32"/>
          <w:szCs w:val="32"/>
          <w:u w:val="none"/>
          <w:lang w:eastAsia="zh-CN"/>
        </w:rPr>
        <w:t>中华人民共和国消费者权益保护法</w:t>
      </w:r>
      <w:r>
        <w:rPr>
          <w:rFonts w:hint="eastAsia" w:ascii="仿宋_GB2312" w:eastAsia="仿宋_GB2312"/>
          <w:bCs/>
          <w:sz w:val="32"/>
          <w:szCs w:val="32"/>
          <w:u w:val="none"/>
        </w:rPr>
        <w:t>》第</w:t>
      </w:r>
      <w:r>
        <w:rPr>
          <w:rFonts w:hint="eastAsia" w:ascii="仿宋_GB2312" w:eastAsia="仿宋_GB2312"/>
          <w:bCs/>
          <w:sz w:val="32"/>
          <w:szCs w:val="32"/>
          <w:u w:val="none"/>
          <w:lang w:eastAsia="zh-CN"/>
        </w:rPr>
        <w:t>五十六</w:t>
      </w:r>
      <w:r>
        <w:rPr>
          <w:rFonts w:hint="eastAsia" w:ascii="仿宋_GB2312" w:eastAsia="仿宋_GB2312"/>
          <w:bCs/>
          <w:sz w:val="32"/>
          <w:szCs w:val="32"/>
          <w:u w:val="none"/>
        </w:rPr>
        <w:t>条</w:t>
      </w:r>
      <w:r>
        <w:rPr>
          <w:rFonts w:hint="eastAsia" w:ascii="仿宋_GB2312" w:eastAsia="仿宋_GB2312"/>
          <w:bCs/>
          <w:sz w:val="32"/>
          <w:szCs w:val="32"/>
          <w:u w:val="none"/>
          <w:lang w:eastAsia="zh-CN"/>
        </w:rPr>
        <w:t>第一款</w:t>
      </w:r>
      <w:r>
        <w:rPr>
          <w:rFonts w:hint="eastAsia" w:ascii="仿宋_GB2312" w:eastAsia="仿宋_GB2312"/>
          <w:bCs/>
          <w:sz w:val="32"/>
          <w:szCs w:val="32"/>
          <w:u w:val="none"/>
        </w:rPr>
        <w:t>第（一）项</w:t>
      </w:r>
      <w:r>
        <w:rPr>
          <w:rFonts w:hint="eastAsia" w:ascii="仿宋_GB2312" w:eastAsia="仿宋_GB2312"/>
          <w:sz w:val="32"/>
          <w:szCs w:val="32"/>
          <w:u w:val="none"/>
        </w:rPr>
        <w:t>“</w:t>
      </w:r>
      <w:r>
        <w:rPr>
          <w:rFonts w:ascii="宋体" w:hAnsi="宋体" w:eastAsia="宋体" w:cs="宋体"/>
          <w:kern w:val="0"/>
          <w:sz w:val="18"/>
          <w:szCs w:val="18"/>
          <w:u w:val="none"/>
          <w:lang w:val="en-US" w:eastAsia="zh-CN" w:bidi="ar"/>
        </w:rPr>
        <w:t> </w:t>
      </w:r>
      <w:r>
        <w:rPr>
          <w:rFonts w:hint="eastAsia" w:ascii="仿宋_GB2312" w:eastAsia="仿宋_GB2312"/>
          <w:bCs/>
          <w:sz w:val="32"/>
          <w:szCs w:val="32"/>
          <w:u w:val="none"/>
          <w:lang w:val="en-US" w:eastAsia="zh-CN"/>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一）提供的商品或者服务不符合保障人身、财产安全要求的；</w:t>
      </w:r>
      <w:r>
        <w:rPr>
          <w:rFonts w:hint="eastAsia" w:ascii="仿宋_GB2312" w:eastAsia="仿宋_GB2312"/>
          <w:bCs/>
          <w:sz w:val="32"/>
          <w:szCs w:val="32"/>
          <w:u w:val="none"/>
          <w:lang w:eastAsia="zh-CN"/>
        </w:rPr>
        <w:t>”的规定，责令当事人立即违法行为，并给予当事人以下行政</w:t>
      </w:r>
      <w:r>
        <w:rPr>
          <w:rFonts w:hint="eastAsia" w:ascii="仿宋_GB2312" w:eastAsia="仿宋_GB2312"/>
          <w:sz w:val="32"/>
          <w:szCs w:val="32"/>
          <w:u w:val="none"/>
        </w:rPr>
        <w:t>处罚：罚款50</w:t>
      </w:r>
      <w:r>
        <w:rPr>
          <w:rFonts w:hint="eastAsia" w:ascii="仿宋_GB2312" w:eastAsia="仿宋_GB2312"/>
          <w:sz w:val="32"/>
          <w:szCs w:val="32"/>
          <w:u w:val="none"/>
          <w:lang w:val="en-US" w:eastAsia="zh-CN"/>
        </w:rPr>
        <w:t>0</w:t>
      </w:r>
      <w:r>
        <w:rPr>
          <w:rFonts w:hint="eastAsia" w:ascii="仿宋_GB2312" w:eastAsia="仿宋_GB2312"/>
          <w:sz w:val="32"/>
          <w:szCs w:val="32"/>
          <w:u w:val="none"/>
        </w:rPr>
        <w:t>0元。</w:t>
      </w:r>
    </w:p>
    <w:p>
      <w:pPr>
        <w:snapToGrid w:val="0"/>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当事人应于收到本决定书之日起十五日内将罚（没）款缴至</w:t>
      </w:r>
      <w:r>
        <w:rPr>
          <w:rFonts w:hint="eastAsia" w:ascii="仿宋_GB2312" w:eastAsia="仿宋_GB2312" w:cs="仿宋_GB2312"/>
          <w:color w:val="000000" w:themeColor="text1"/>
          <w:kern w:val="1"/>
          <w:sz w:val="32"/>
          <w:szCs w:val="32"/>
          <w:u w:val="none"/>
          <w14:textFill>
            <w14:solidFill>
              <w14:schemeClr w14:val="tx1"/>
            </w14:solidFill>
          </w14:textFill>
        </w:rPr>
        <w:t>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网上办事”栏目“非税缴费”模块进行网上缴费。</w:t>
      </w:r>
      <w:r>
        <w:rPr>
          <w:rFonts w:hint="eastAsia" w:ascii="仿宋_GB2312" w:eastAsia="仿宋_GB2312"/>
          <w:sz w:val="32"/>
          <w:szCs w:val="32"/>
          <w:u w:val="none"/>
        </w:rPr>
        <w:t>到期不缴纳罚款的，依据《中华人民共和国行政处罚法》第七十二条的规定，本局将每日按罚款数额的百分之三加处罚款，</w:t>
      </w:r>
      <w:r>
        <w:rPr>
          <w:rFonts w:hint="eastAsia" w:ascii="仿宋_GB2312" w:hAnsi="宋体" w:eastAsia="仿宋_GB2312"/>
          <w:sz w:val="32"/>
          <w:szCs w:val="32"/>
          <w:u w:val="none"/>
        </w:rPr>
        <w:t>并将依法申请人民法院强制执行。</w:t>
      </w:r>
    </w:p>
    <w:p>
      <w:pPr>
        <w:widowControl/>
        <w:snapToGrid w:val="0"/>
        <w:spacing w:line="560" w:lineRule="exact"/>
        <w:ind w:firstLine="640" w:firstLineChars="200"/>
        <w:jc w:val="left"/>
        <w:rPr>
          <w:rFonts w:ascii="Times New Roman" w:hAnsi="Times New Roman" w:eastAsia="仿宋_GB2312" w:cs="仿宋_GB2312"/>
          <w:color w:val="000000"/>
          <w:sz w:val="32"/>
          <w:szCs w:val="32"/>
          <w:u w:val="none"/>
        </w:rPr>
      </w:pPr>
      <w:r>
        <w:rPr>
          <w:rFonts w:hint="eastAsia" w:ascii="Times New Roman" w:hAnsi="Times New Roman" w:eastAsia="仿宋_GB2312" w:cs="仿宋"/>
          <w:bCs/>
          <w:color w:val="000000"/>
          <w:sz w:val="32"/>
          <w:szCs w:val="32"/>
          <w:u w:val="none"/>
        </w:rPr>
        <w:t>如对本行政处罚决定不服，可以于收到本决定书之日起六十日内依法向天津市市场监督管理</w:t>
      </w:r>
      <w:r>
        <w:rPr>
          <w:rFonts w:ascii="Times New Roman" w:hAnsi="Times New Roman" w:eastAsia="仿宋_GB2312" w:cs="仿宋"/>
          <w:bCs/>
          <w:color w:val="000000"/>
          <w:sz w:val="32"/>
          <w:szCs w:val="32"/>
          <w:u w:val="none"/>
        </w:rPr>
        <w:t>委员会</w:t>
      </w:r>
      <w:r>
        <w:rPr>
          <w:rFonts w:hint="eastAsia" w:ascii="Times New Roman" w:hAnsi="Times New Roman" w:eastAsia="仿宋_GB2312" w:cs="仿宋"/>
          <w:bCs/>
          <w:color w:val="000000"/>
          <w:sz w:val="32"/>
          <w:szCs w:val="32"/>
          <w:u w:val="none"/>
        </w:rPr>
        <w:t>或者天津市北辰区人民政府申请行政复议，也可以于六个月内依法向天津市北辰区人民法院提起行政诉讼。</w:t>
      </w:r>
    </w:p>
    <w:p>
      <w:pPr>
        <w:widowControl/>
        <w:snapToGrid w:val="0"/>
        <w:spacing w:line="276" w:lineRule="auto"/>
        <w:ind w:firstLine="6240" w:firstLineChars="1950"/>
        <w:jc w:val="left"/>
        <w:rPr>
          <w:rFonts w:ascii="Times New Roman" w:hAnsi="Times New Roman" w:eastAsia="仿宋_GB2312" w:cs="仿宋_GB2312"/>
          <w:color w:val="000000"/>
          <w:sz w:val="32"/>
          <w:szCs w:val="32"/>
          <w:u w:val="none"/>
        </w:rPr>
      </w:pPr>
    </w:p>
    <w:p>
      <w:pPr>
        <w:widowControl/>
        <w:snapToGrid w:val="0"/>
        <w:spacing w:line="276" w:lineRule="auto"/>
        <w:ind w:firstLine="6240" w:firstLineChars="1950"/>
        <w:jc w:val="left"/>
        <w:rPr>
          <w:rFonts w:ascii="Times New Roman" w:hAnsi="Times New Roman" w:eastAsia="仿宋_GB2312" w:cs="仿宋_GB2312"/>
          <w:color w:val="000000"/>
          <w:sz w:val="32"/>
          <w:szCs w:val="32"/>
          <w:u w:val="none"/>
        </w:rPr>
      </w:pPr>
    </w:p>
    <w:p>
      <w:pPr>
        <w:widowControl/>
        <w:snapToGrid w:val="0"/>
        <w:spacing w:line="276" w:lineRule="auto"/>
        <w:ind w:firstLine="6240" w:firstLineChars="1950"/>
        <w:jc w:val="left"/>
        <w:rPr>
          <w:rFonts w:ascii="Times New Roman" w:hAnsi="Times New Roman" w:eastAsia="仿宋_GB2312" w:cs="仿宋_GB2312"/>
          <w:color w:val="000000"/>
          <w:sz w:val="32"/>
          <w:szCs w:val="32"/>
          <w:u w:val="none"/>
        </w:rPr>
      </w:pPr>
    </w:p>
    <w:p>
      <w:pPr>
        <w:widowControl/>
        <w:snapToGrid w:val="0"/>
        <w:spacing w:line="276" w:lineRule="auto"/>
        <w:ind w:firstLine="6240" w:firstLineChars="1950"/>
        <w:jc w:val="left"/>
        <w:rPr>
          <w:rFonts w:ascii="Times New Roman" w:hAnsi="Times New Roman" w:eastAsia="仿宋_GB2312" w:cs="仿宋_GB2312"/>
          <w:color w:val="000000"/>
          <w:sz w:val="32"/>
          <w:szCs w:val="32"/>
          <w:u w:val="none"/>
        </w:rPr>
      </w:pPr>
    </w:p>
    <w:p>
      <w:pPr>
        <w:spacing w:line="276" w:lineRule="auto"/>
        <w:ind w:right="640" w:firstLine="601"/>
        <w:jc w:val="center"/>
        <w:rPr>
          <w:rFonts w:ascii="Times New Roman" w:hAnsi="Times New Roman" w:eastAsia="仿宋_GB2312" w:cs="仿宋"/>
          <w:color w:val="000000"/>
          <w:sz w:val="32"/>
          <w:szCs w:val="32"/>
          <w:u w:val="none"/>
        </w:rPr>
      </w:pPr>
      <w:r>
        <w:rPr>
          <w:rFonts w:hint="default" w:ascii="Times New Roman" w:hAnsi="Times New Roman" w:eastAsia="仿宋_GB2312" w:cs="仿宋"/>
          <w:color w:val="000000"/>
          <w:sz w:val="32"/>
          <w:szCs w:val="32"/>
          <w:u w:val="none"/>
          <w:lang w:val="en"/>
        </w:rPr>
        <w:t xml:space="preserve">            </w:t>
      </w:r>
      <w:r>
        <w:rPr>
          <w:rFonts w:hint="eastAsia" w:ascii="Times New Roman" w:hAnsi="Times New Roman" w:eastAsia="仿宋_GB2312" w:cs="仿宋"/>
          <w:color w:val="000000"/>
          <w:sz w:val="32"/>
          <w:szCs w:val="32"/>
          <w:u w:val="none"/>
        </w:rPr>
        <w:t>天津市北辰区市场监督管理局</w:t>
      </w:r>
    </w:p>
    <w:p>
      <w:pPr>
        <w:spacing w:line="276" w:lineRule="auto"/>
        <w:ind w:right="1440" w:firstLine="600"/>
        <w:jc w:val="center"/>
        <w:rPr>
          <w:rFonts w:ascii="仿宋_GB2312" w:hAnsi="Times New Roman" w:eastAsia="仿宋_GB2312" w:cs="仿宋"/>
          <w:color w:val="000000"/>
          <w:sz w:val="32"/>
          <w:szCs w:val="32"/>
          <w:u w:val="none"/>
        </w:rPr>
      </w:pPr>
      <w:r>
        <w:rPr>
          <w:rFonts w:hint="default" w:ascii="仿宋_GB2312" w:hAnsi="Times New Roman" w:eastAsia="仿宋_GB2312" w:cs="仿宋"/>
          <w:color w:val="000000"/>
          <w:sz w:val="32"/>
          <w:szCs w:val="32"/>
          <w:u w:val="none"/>
          <w:lang w:val="en"/>
        </w:rPr>
        <w:t xml:space="preserve">                 </w:t>
      </w:r>
      <w:bookmarkStart w:id="3" w:name="_GoBack"/>
      <w:bookmarkEnd w:id="3"/>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w:t>
      </w:r>
      <w:r>
        <w:rPr>
          <w:rFonts w:ascii="仿宋_GB2312" w:hAnsi="Times New Roman" w:eastAsia="仿宋_GB2312" w:cs="仿宋"/>
          <w:color w:val="000000"/>
          <w:sz w:val="32"/>
          <w:szCs w:val="32"/>
          <w:u w:val="none"/>
          <w:lang w:val="en"/>
        </w:rPr>
        <w:t>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5</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23</w:t>
      </w:r>
      <w:r>
        <w:rPr>
          <w:rFonts w:hint="eastAsia" w:ascii="仿宋_GB2312" w:hAnsi="Times New Roman" w:eastAsia="仿宋_GB2312" w:cs="仿宋"/>
          <w:color w:val="000000"/>
          <w:sz w:val="32"/>
          <w:szCs w:val="32"/>
          <w:u w:val="none"/>
        </w:rPr>
        <w:t>日</w:t>
      </w:r>
    </w:p>
    <w:p>
      <w:pPr>
        <w:widowControl/>
        <w:snapToGrid w:val="0"/>
        <w:spacing w:line="276" w:lineRule="auto"/>
        <w:jc w:val="right"/>
        <w:rPr>
          <w:rFonts w:ascii="Times New Roman" w:hAnsi="Times New Roman" w:eastAsia="仿宋_GB2312" w:cs="Mongolian Baiti"/>
          <w:color w:val="000000"/>
          <w:sz w:val="32"/>
          <w:szCs w:val="32"/>
          <w:u w:val="none"/>
        </w:rPr>
      </w:pPr>
    </w:p>
    <w:p>
      <w:pPr>
        <w:pStyle w:val="2"/>
        <w:spacing w:before="1" w:line="276" w:lineRule="auto"/>
        <w:ind w:left="163"/>
        <w:jc w:val="center"/>
        <w:rPr>
          <w:rFonts w:ascii="黑体" w:hAnsi="黑体" w:eastAsia="黑体"/>
          <w:color w:val="231F20"/>
          <w:spacing w:val="-16"/>
          <w:u w:val="none"/>
        </w:rPr>
      </w:pPr>
    </w:p>
    <w:p>
      <w:pPr>
        <w:spacing w:line="276" w:lineRule="auto"/>
        <w:rPr>
          <w:rFonts w:ascii="Times New Roman" w:hAnsi="Times New Roman" w:eastAsia="仿宋_GB2312" w:cs="Mongolian Baiti"/>
          <w:bCs/>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861B1"/>
    <w:rsid w:val="00087B0D"/>
    <w:rsid w:val="0009737B"/>
    <w:rsid w:val="000A570E"/>
    <w:rsid w:val="000A7F66"/>
    <w:rsid w:val="000D64BE"/>
    <w:rsid w:val="000D7F69"/>
    <w:rsid w:val="000E1CDE"/>
    <w:rsid w:val="000E4C39"/>
    <w:rsid w:val="00105B3A"/>
    <w:rsid w:val="00124AB7"/>
    <w:rsid w:val="0013009A"/>
    <w:rsid w:val="001302CC"/>
    <w:rsid w:val="00134224"/>
    <w:rsid w:val="00135285"/>
    <w:rsid w:val="0013566B"/>
    <w:rsid w:val="00141265"/>
    <w:rsid w:val="00155150"/>
    <w:rsid w:val="00174513"/>
    <w:rsid w:val="001935D8"/>
    <w:rsid w:val="001A0A12"/>
    <w:rsid w:val="001A4627"/>
    <w:rsid w:val="001B6371"/>
    <w:rsid w:val="001C48E8"/>
    <w:rsid w:val="001C585A"/>
    <w:rsid w:val="001C6C38"/>
    <w:rsid w:val="001D0DBD"/>
    <w:rsid w:val="001D39FE"/>
    <w:rsid w:val="001D598A"/>
    <w:rsid w:val="001D6E73"/>
    <w:rsid w:val="001E186D"/>
    <w:rsid w:val="001E3C01"/>
    <w:rsid w:val="001E4DA8"/>
    <w:rsid w:val="001F1F34"/>
    <w:rsid w:val="001F6C46"/>
    <w:rsid w:val="002007C2"/>
    <w:rsid w:val="002303E7"/>
    <w:rsid w:val="00235572"/>
    <w:rsid w:val="00247D93"/>
    <w:rsid w:val="00265AC0"/>
    <w:rsid w:val="002679B5"/>
    <w:rsid w:val="00276287"/>
    <w:rsid w:val="0028143B"/>
    <w:rsid w:val="00293DDE"/>
    <w:rsid w:val="002A7ADB"/>
    <w:rsid w:val="002B2A80"/>
    <w:rsid w:val="002C321C"/>
    <w:rsid w:val="002C60A7"/>
    <w:rsid w:val="002D3886"/>
    <w:rsid w:val="002E63BB"/>
    <w:rsid w:val="002E7F5E"/>
    <w:rsid w:val="002F226E"/>
    <w:rsid w:val="002F7CF0"/>
    <w:rsid w:val="002F7DE3"/>
    <w:rsid w:val="00305C8E"/>
    <w:rsid w:val="00314F50"/>
    <w:rsid w:val="00317337"/>
    <w:rsid w:val="00321374"/>
    <w:rsid w:val="00327185"/>
    <w:rsid w:val="003329C9"/>
    <w:rsid w:val="0033518D"/>
    <w:rsid w:val="00337A1C"/>
    <w:rsid w:val="00337E38"/>
    <w:rsid w:val="00343250"/>
    <w:rsid w:val="00381370"/>
    <w:rsid w:val="003842C1"/>
    <w:rsid w:val="00395CC8"/>
    <w:rsid w:val="003A14C9"/>
    <w:rsid w:val="003A52F4"/>
    <w:rsid w:val="003B41E5"/>
    <w:rsid w:val="003C2BA3"/>
    <w:rsid w:val="003C2C24"/>
    <w:rsid w:val="003E4778"/>
    <w:rsid w:val="003F0F35"/>
    <w:rsid w:val="00405F5D"/>
    <w:rsid w:val="00407217"/>
    <w:rsid w:val="00407255"/>
    <w:rsid w:val="004224AB"/>
    <w:rsid w:val="0042497B"/>
    <w:rsid w:val="0042701C"/>
    <w:rsid w:val="00427B75"/>
    <w:rsid w:val="00435C4A"/>
    <w:rsid w:val="0043632E"/>
    <w:rsid w:val="00442709"/>
    <w:rsid w:val="00445C13"/>
    <w:rsid w:val="0045135B"/>
    <w:rsid w:val="004608E5"/>
    <w:rsid w:val="004636C3"/>
    <w:rsid w:val="004671DF"/>
    <w:rsid w:val="00474830"/>
    <w:rsid w:val="0047772C"/>
    <w:rsid w:val="004810FB"/>
    <w:rsid w:val="0048124D"/>
    <w:rsid w:val="00481674"/>
    <w:rsid w:val="004824C7"/>
    <w:rsid w:val="00485DA1"/>
    <w:rsid w:val="004916F1"/>
    <w:rsid w:val="0049385E"/>
    <w:rsid w:val="0049796A"/>
    <w:rsid w:val="004A6F42"/>
    <w:rsid w:val="004B3D5A"/>
    <w:rsid w:val="004C2B30"/>
    <w:rsid w:val="004C43B0"/>
    <w:rsid w:val="004D3A24"/>
    <w:rsid w:val="004D560F"/>
    <w:rsid w:val="004D6BF5"/>
    <w:rsid w:val="004E6083"/>
    <w:rsid w:val="004E65FD"/>
    <w:rsid w:val="004F022C"/>
    <w:rsid w:val="004F48D3"/>
    <w:rsid w:val="00511C98"/>
    <w:rsid w:val="0051608A"/>
    <w:rsid w:val="0051704B"/>
    <w:rsid w:val="005531D3"/>
    <w:rsid w:val="00554069"/>
    <w:rsid w:val="00562164"/>
    <w:rsid w:val="00567016"/>
    <w:rsid w:val="005768AA"/>
    <w:rsid w:val="00587A0B"/>
    <w:rsid w:val="00595E1C"/>
    <w:rsid w:val="005A49D8"/>
    <w:rsid w:val="005B0ACC"/>
    <w:rsid w:val="005B59C1"/>
    <w:rsid w:val="005C19B8"/>
    <w:rsid w:val="005E5A82"/>
    <w:rsid w:val="005F0C43"/>
    <w:rsid w:val="00603AC2"/>
    <w:rsid w:val="00627BF5"/>
    <w:rsid w:val="00637A54"/>
    <w:rsid w:val="0064186E"/>
    <w:rsid w:val="00646178"/>
    <w:rsid w:val="006464ED"/>
    <w:rsid w:val="00675D60"/>
    <w:rsid w:val="00680F9B"/>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5276C"/>
    <w:rsid w:val="007671DD"/>
    <w:rsid w:val="00767D88"/>
    <w:rsid w:val="0077090A"/>
    <w:rsid w:val="00773E0C"/>
    <w:rsid w:val="00774080"/>
    <w:rsid w:val="007776BC"/>
    <w:rsid w:val="00782E4E"/>
    <w:rsid w:val="007A1CC7"/>
    <w:rsid w:val="007E6A4A"/>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11218"/>
    <w:rsid w:val="00915946"/>
    <w:rsid w:val="0091650F"/>
    <w:rsid w:val="00922C7B"/>
    <w:rsid w:val="009274E0"/>
    <w:rsid w:val="00931B31"/>
    <w:rsid w:val="00933808"/>
    <w:rsid w:val="009354FC"/>
    <w:rsid w:val="00937453"/>
    <w:rsid w:val="0094427C"/>
    <w:rsid w:val="009457E6"/>
    <w:rsid w:val="009504FB"/>
    <w:rsid w:val="00953587"/>
    <w:rsid w:val="00962A65"/>
    <w:rsid w:val="00962FEF"/>
    <w:rsid w:val="00963927"/>
    <w:rsid w:val="00976BC1"/>
    <w:rsid w:val="009962E2"/>
    <w:rsid w:val="009C163D"/>
    <w:rsid w:val="009D42F1"/>
    <w:rsid w:val="009E333F"/>
    <w:rsid w:val="009E4E31"/>
    <w:rsid w:val="009E657C"/>
    <w:rsid w:val="00A134FA"/>
    <w:rsid w:val="00A13558"/>
    <w:rsid w:val="00A2151F"/>
    <w:rsid w:val="00A23210"/>
    <w:rsid w:val="00A31630"/>
    <w:rsid w:val="00A34605"/>
    <w:rsid w:val="00A41BC6"/>
    <w:rsid w:val="00A4409E"/>
    <w:rsid w:val="00A4668D"/>
    <w:rsid w:val="00A63D32"/>
    <w:rsid w:val="00A87A8A"/>
    <w:rsid w:val="00A92F5C"/>
    <w:rsid w:val="00AA20D6"/>
    <w:rsid w:val="00AB1753"/>
    <w:rsid w:val="00AB538A"/>
    <w:rsid w:val="00AC07E1"/>
    <w:rsid w:val="00AC69AA"/>
    <w:rsid w:val="00AD46DE"/>
    <w:rsid w:val="00AD75C1"/>
    <w:rsid w:val="00AF0F06"/>
    <w:rsid w:val="00AF5F01"/>
    <w:rsid w:val="00B00C29"/>
    <w:rsid w:val="00B01BF1"/>
    <w:rsid w:val="00B15F14"/>
    <w:rsid w:val="00B16194"/>
    <w:rsid w:val="00B1713C"/>
    <w:rsid w:val="00B24153"/>
    <w:rsid w:val="00B24C52"/>
    <w:rsid w:val="00B25A44"/>
    <w:rsid w:val="00B41939"/>
    <w:rsid w:val="00B43F93"/>
    <w:rsid w:val="00B456FF"/>
    <w:rsid w:val="00B46FC6"/>
    <w:rsid w:val="00B47582"/>
    <w:rsid w:val="00B521D3"/>
    <w:rsid w:val="00B61785"/>
    <w:rsid w:val="00B70024"/>
    <w:rsid w:val="00B715E5"/>
    <w:rsid w:val="00B94081"/>
    <w:rsid w:val="00BB1341"/>
    <w:rsid w:val="00BB5E94"/>
    <w:rsid w:val="00BC0712"/>
    <w:rsid w:val="00BC4D3A"/>
    <w:rsid w:val="00BE20C1"/>
    <w:rsid w:val="00BE5B68"/>
    <w:rsid w:val="00C01915"/>
    <w:rsid w:val="00C035FD"/>
    <w:rsid w:val="00C040D2"/>
    <w:rsid w:val="00C20D6D"/>
    <w:rsid w:val="00C233F4"/>
    <w:rsid w:val="00C2360C"/>
    <w:rsid w:val="00C36D99"/>
    <w:rsid w:val="00C41D11"/>
    <w:rsid w:val="00C442A6"/>
    <w:rsid w:val="00C50582"/>
    <w:rsid w:val="00C52929"/>
    <w:rsid w:val="00C56E90"/>
    <w:rsid w:val="00C770AC"/>
    <w:rsid w:val="00C80C46"/>
    <w:rsid w:val="00C85940"/>
    <w:rsid w:val="00CA0F0E"/>
    <w:rsid w:val="00CA197E"/>
    <w:rsid w:val="00CB0B4C"/>
    <w:rsid w:val="00CB2332"/>
    <w:rsid w:val="00CB7D73"/>
    <w:rsid w:val="00CC0458"/>
    <w:rsid w:val="00CC0B55"/>
    <w:rsid w:val="00CC0D8B"/>
    <w:rsid w:val="00CC6D35"/>
    <w:rsid w:val="00CD367F"/>
    <w:rsid w:val="00CF22A6"/>
    <w:rsid w:val="00CF29F0"/>
    <w:rsid w:val="00CF4344"/>
    <w:rsid w:val="00CF55F1"/>
    <w:rsid w:val="00D02646"/>
    <w:rsid w:val="00D02E15"/>
    <w:rsid w:val="00D13F70"/>
    <w:rsid w:val="00D14DAC"/>
    <w:rsid w:val="00D16BF8"/>
    <w:rsid w:val="00D21432"/>
    <w:rsid w:val="00D312C1"/>
    <w:rsid w:val="00D337B9"/>
    <w:rsid w:val="00D4026C"/>
    <w:rsid w:val="00D60146"/>
    <w:rsid w:val="00D60585"/>
    <w:rsid w:val="00D62831"/>
    <w:rsid w:val="00D76CF2"/>
    <w:rsid w:val="00D83C52"/>
    <w:rsid w:val="00D94930"/>
    <w:rsid w:val="00DA5F69"/>
    <w:rsid w:val="00DA6426"/>
    <w:rsid w:val="00DB5407"/>
    <w:rsid w:val="00DC43CB"/>
    <w:rsid w:val="00DD216C"/>
    <w:rsid w:val="00DE371E"/>
    <w:rsid w:val="00E07A7F"/>
    <w:rsid w:val="00E12D4F"/>
    <w:rsid w:val="00E14755"/>
    <w:rsid w:val="00E24FF1"/>
    <w:rsid w:val="00E46F2E"/>
    <w:rsid w:val="00E54E33"/>
    <w:rsid w:val="00E63FF0"/>
    <w:rsid w:val="00EA384A"/>
    <w:rsid w:val="00EA54CA"/>
    <w:rsid w:val="00EA77B4"/>
    <w:rsid w:val="00EF2571"/>
    <w:rsid w:val="00EF5784"/>
    <w:rsid w:val="00F02180"/>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1FFA79BC"/>
    <w:rsid w:val="3A157AC2"/>
    <w:rsid w:val="3F572734"/>
    <w:rsid w:val="5BD8EAC5"/>
    <w:rsid w:val="67ABEFAF"/>
    <w:rsid w:val="757F04AF"/>
    <w:rsid w:val="7F5541DC"/>
    <w:rsid w:val="7FDF78F5"/>
    <w:rsid w:val="7FFFB82B"/>
    <w:rsid w:val="8E4DEA7C"/>
    <w:rsid w:val="9FBC49D0"/>
    <w:rsid w:val="A5CD8411"/>
    <w:rsid w:val="B9F09E03"/>
    <w:rsid w:val="BFAF8ADB"/>
    <w:rsid w:val="CABD8434"/>
    <w:rsid w:val="DFEDF8DC"/>
    <w:rsid w:val="E5BF5CC5"/>
    <w:rsid w:val="F5ED2B30"/>
    <w:rsid w:val="F77A4F97"/>
    <w:rsid w:val="F7D887F2"/>
    <w:rsid w:val="FBF73263"/>
    <w:rsid w:val="FF37C846"/>
    <w:rsid w:val="FF77AF8B"/>
    <w:rsid w:val="FF9B8C09"/>
    <w:rsid w:val="FFFFA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Balloon Text"/>
    <w:basedOn w:val="1"/>
    <w:link w:val="13"/>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semiHidden/>
    <w:qFormat/>
    <w:uiPriority w:val="99"/>
    <w:rPr>
      <w:rFonts w:ascii="Calibri" w:hAnsi="Calibri" w:eastAsia="宋体" w:cs="Times New Roman"/>
      <w:szCs w:val="24"/>
    </w:rPr>
  </w:style>
  <w:style w:type="character" w:customStyle="1" w:styleId="11">
    <w:name w:val="正文文本 Char1"/>
    <w:link w:val="2"/>
    <w:qFormat/>
    <w:uiPriority w:val="1"/>
    <w:rPr>
      <w:rFonts w:ascii="Arial Unicode MS" w:hAnsi="Times New Roman" w:eastAsia="Arial Unicode MS" w:cs="Times New Roman"/>
      <w:kern w:val="0"/>
      <w:sz w:val="32"/>
      <w:szCs w:val="32"/>
    </w:rPr>
  </w:style>
  <w:style w:type="paragraph" w:customStyle="1" w:styleId="12">
    <w:name w:val="2文本"/>
    <w:qFormat/>
    <w:uiPriority w:val="0"/>
    <w:pPr>
      <w:widowControl w:val="0"/>
      <w:suppressAutoHyphens/>
      <w:ind w:firstLine="200"/>
      <w:jc w:val="both"/>
    </w:pPr>
    <w:rPr>
      <w:rFonts w:ascii="Times New Roman" w:hAnsi="Times New Roman" w:eastAsia="宋体" w:cs="Times New Roman"/>
      <w:color w:val="000000"/>
      <w:kern w:val="1"/>
      <w:lang w:val="en-US" w:eastAsia="zh-CN" w:bidi="ar-SA"/>
    </w:rPr>
  </w:style>
  <w:style w:type="character" w:customStyle="1" w:styleId="13">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275</Words>
  <Characters>1574</Characters>
  <Lines>13</Lines>
  <Paragraphs>3</Paragraphs>
  <TotalTime>0</TotalTime>
  <ScaleCrop>false</ScaleCrop>
  <LinksUpToDate>false</LinksUpToDate>
  <CharactersWithSpaces>1846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2021-08-07T18:58:00Z</dcterms:created>
  <dc:creator>林正禄</dc:creator>
  <cp:lastModifiedBy>greatwall</cp:lastModifiedBy>
  <cp:lastPrinted>2022-05-26T01:43:00Z</cp:lastPrinted>
  <dcterms:modified xsi:type="dcterms:W3CDTF">2022-05-27T16:37:48Z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