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lang w:eastAsia="zh-CN"/>
        </w:rPr>
        <w:t>天津市</w:t>
      </w:r>
      <w:r>
        <w:rPr>
          <w:rFonts w:hint="eastAsia" w:ascii="Times New Roman" w:hAnsi="Times New Roman" w:eastAsia="方正小标宋简体" w:cs="方正小标宋简体"/>
          <w:bCs/>
          <w:color w:val="000000"/>
          <w:sz w:val="44"/>
          <w:szCs w:val="44"/>
          <w:u w:val="none"/>
        </w:rPr>
        <w:t>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4" name="直接箭头连接符 14"/>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IteKJraAAAACwEAAA8AAAAAAAAAAQAgAAAAOAAAAGRycy9kb3du&#10;cmV2LnhtbFBLAQIUABQAAAAIAIdO4kBXmmBI5wEAAKIDAAAOAAAAAAAAAAEAIAAAAD8BAABkcnMv&#10;ZTJvRG9jLnhtbFBLBQYAAAAABgAGAFkBAACY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w:t>
      </w:r>
      <w:r>
        <w:rPr>
          <w:rFonts w:hint="eastAsia" w:ascii="Times New Roman" w:hAnsi="Times New Roman" w:eastAsia="仿宋_GB2312" w:cs="仿宋"/>
          <w:color w:val="000000"/>
          <w:sz w:val="32"/>
          <w:szCs w:val="32"/>
          <w:u w:val="none"/>
        </w:rPr>
        <w:t>市监</w:t>
      </w:r>
      <w:r>
        <w:rPr>
          <w:rFonts w:hint="eastAsia" w:ascii="Times New Roman" w:hAnsi="Times New Roman" w:eastAsia="仿宋_GB2312" w:cs="仿宋"/>
          <w:color w:val="000000"/>
          <w:sz w:val="32"/>
          <w:szCs w:val="32"/>
          <w:u w:val="none"/>
          <w:lang w:eastAsia="zh-CN"/>
        </w:rPr>
        <w:t>处罚</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rPr>
        <w:t>20</w:t>
      </w:r>
      <w:r>
        <w:rPr>
          <w:rFonts w:hint="eastAsia" w:ascii="Times New Roman" w:hAnsi="Times New Roman" w:eastAsia="仿宋_GB2312" w:cs="仿宋"/>
          <w:color w:val="000000"/>
          <w:sz w:val="32"/>
          <w:szCs w:val="32"/>
          <w:u w:val="none"/>
          <w:lang w:val="en-US" w:eastAsia="zh-CN"/>
        </w:rPr>
        <w:t>22</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lang w:val="en-US" w:eastAsia="zh-CN"/>
        </w:rPr>
        <w:t>369</w:t>
      </w:r>
      <w:r>
        <w:rPr>
          <w:rFonts w:hint="eastAsia" w:ascii="Times New Roman" w:hAnsi="Times New Roman" w:eastAsia="仿宋_GB2312" w:cs="仿宋"/>
          <w:color w:val="000000"/>
          <w:sz w:val="32"/>
          <w:szCs w:val="32"/>
          <w:u w:val="none"/>
        </w:rPr>
        <w:t>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Mongolian Baiti"/>
          <w:kern w:val="1"/>
          <w:sz w:val="32"/>
          <w:szCs w:val="32"/>
          <w:u w:val="none"/>
          <w:lang w:val="en-US" w:eastAsia="zh-CN"/>
        </w:rPr>
      </w:pPr>
      <w:r>
        <w:rPr>
          <w:rFonts w:hint="eastAsia" w:ascii="Times New Roman" w:hAnsi="Times New Roman" w:eastAsia="仿宋_GB2312" w:cs="微软雅黑"/>
          <w:kern w:val="1"/>
          <w:sz w:val="32"/>
          <w:szCs w:val="32"/>
          <w:u w:val="none"/>
        </w:rPr>
        <w:t>当事人</w:t>
      </w:r>
      <w:r>
        <w:rPr>
          <w:rFonts w:hint="eastAsia" w:ascii="Times New Roman" w:hAnsi="Times New Roman" w:eastAsia="仿宋_GB2312" w:cs="Mongolian Baiti"/>
          <w:kern w:val="1"/>
          <w:sz w:val="32"/>
          <w:szCs w:val="32"/>
          <w:u w:val="none"/>
        </w:rPr>
        <w:t>：</w:t>
      </w:r>
      <w:r>
        <w:rPr>
          <w:rFonts w:hint="eastAsia" w:ascii="仿宋_GB2312" w:hAnsi="Mongolian Baiti" w:eastAsia="仿宋_GB2312" w:cs="Mongolian Baiti"/>
          <w:kern w:val="1"/>
          <w:sz w:val="32"/>
          <w:szCs w:val="32"/>
          <w:u w:val="none"/>
          <w:lang w:eastAsia="zh-CN"/>
        </w:rPr>
        <w:t>天津市人人乐商业有限公司宜兴埠购物广场</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140" w:hanging="140"/>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主体资格证照名称： 营业执照                            </w:t>
      </w:r>
    </w:p>
    <w:p>
      <w:pPr>
        <w:keepNext w:val="0"/>
        <w:keepLines w:val="0"/>
        <w:pageBreakBefore w:val="0"/>
        <w:widowControl w:val="0"/>
        <w:kinsoku/>
        <w:wordWrap/>
        <w:overflowPunct/>
        <w:topLinePunct w:val="0"/>
        <w:autoSpaceDE/>
        <w:autoSpaceDN/>
        <w:bidi w:val="0"/>
        <w:adjustRightInd/>
        <w:snapToGrid/>
        <w:spacing w:line="560" w:lineRule="exact"/>
        <w:ind w:left="140" w:hanging="140"/>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注册号：</w:t>
      </w:r>
      <w:r>
        <w:rPr>
          <w:rFonts w:hint="default" w:ascii="Times New Roman" w:hAnsi="Times New Roman" w:eastAsia="仿宋_GB2312" w:cs="Times New Roman"/>
          <w:kern w:val="1"/>
          <w:sz w:val="32"/>
          <w:szCs w:val="32"/>
          <w:u w:val="none"/>
          <w:lang w:val="en-US" w:eastAsia="zh-CN"/>
        </w:rPr>
        <w:t>911201136794012727</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s="Mongolian Baiti"/>
          <w:kern w:val="1"/>
          <w:sz w:val="32"/>
          <w:szCs w:val="32"/>
          <w:u w:val="none"/>
        </w:rPr>
      </w:pPr>
      <w:r>
        <w:rPr>
          <w:rFonts w:hint="eastAsia" w:ascii="仿宋_GB2312" w:eastAsia="仿宋_GB2312" w:cs="仿宋_GB2312"/>
          <w:spacing w:val="-16"/>
          <w:sz w:val="32"/>
          <w:szCs w:val="32"/>
          <w:u w:val="none"/>
          <w:lang w:eastAsia="zh-CN"/>
        </w:rPr>
        <w:t xml:space="preserve">营业场所: </w:t>
      </w:r>
      <w:r>
        <w:rPr>
          <w:rFonts w:hint="eastAsia" w:ascii="仿宋_GB2312" w:hAnsi="Mongolian Baiti" w:eastAsia="仿宋_GB2312" w:cs="Mongolian Baiti"/>
          <w:kern w:val="1"/>
          <w:sz w:val="32"/>
          <w:szCs w:val="32"/>
          <w:u w:val="none"/>
          <w:lang w:val="en-US" w:eastAsia="zh-CN"/>
        </w:rPr>
        <w:t>北辰区宜白路与均胜路交口</w:t>
      </w:r>
      <w:r>
        <w:rPr>
          <w:rFonts w:hint="eastAsia" w:ascii="Times New Roman" w:hAnsi="Times New Roman" w:eastAsia="仿宋_GB2312" w:cs="Mongolian Baiti"/>
          <w:kern w:val="1"/>
          <w:sz w:val="32"/>
          <w:szCs w:val="32"/>
          <w:u w:val="none"/>
        </w:rPr>
        <w:t xml:space="preserve">   </w:t>
      </w:r>
      <w:r>
        <w:rPr>
          <w:rFonts w:hint="eastAsia" w:ascii="仿宋_GB2312" w:eastAsia="仿宋_GB2312"/>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140" w:hanging="140"/>
        <w:textAlignment w:val="auto"/>
        <w:rPr>
          <w:rFonts w:ascii="Times New Roman" w:hAnsi="Times New Roman" w:eastAsia="仿宋_GB2312" w:cs="Mongolian Baiti"/>
          <w:kern w:val="1"/>
          <w:sz w:val="32"/>
          <w:szCs w:val="32"/>
          <w:u w:val="none"/>
        </w:rPr>
      </w:pPr>
      <w:r>
        <w:rPr>
          <w:rFonts w:hint="eastAsia" w:ascii="仿宋_GB2312" w:eastAsia="仿宋_GB2312" w:cs="仿宋_GB2312"/>
          <w:spacing w:val="-16"/>
          <w:sz w:val="32"/>
          <w:szCs w:val="32"/>
          <w:u w:val="none"/>
          <w:lang w:eastAsia="zh-CN"/>
        </w:rPr>
        <w:t>负责人：</w:t>
      </w:r>
      <w:r>
        <w:rPr>
          <w:rFonts w:hint="eastAsia" w:ascii="仿宋_GB2312" w:hAnsi="Mongolian Baiti" w:eastAsia="仿宋_GB2312" w:cs="Mongolian Baiti"/>
          <w:kern w:val="1"/>
          <w:sz w:val="32"/>
          <w:szCs w:val="32"/>
          <w:u w:val="none"/>
          <w:lang w:eastAsia="zh-CN"/>
        </w:rPr>
        <w:t>张天水</w:t>
      </w:r>
      <w:r>
        <w:rPr>
          <w:rFonts w:hint="eastAsia" w:ascii="仿宋_GB2312" w:eastAsia="仿宋_GB2312"/>
          <w:sz w:val="32"/>
          <w:szCs w:val="32"/>
          <w:u w:val="none"/>
        </w:rPr>
        <w:t xml:space="preserve">              </w:t>
      </w:r>
      <w:r>
        <w:rPr>
          <w:rFonts w:hint="eastAsia" w:ascii="Times New Roman" w:hAnsi="Times New Roman" w:eastAsia="仿宋_GB2312" w:cs="Mongolian Baiti"/>
          <w:kern w:val="1"/>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rPr>
        <w:t>20</w:t>
      </w:r>
      <w:r>
        <w:rPr>
          <w:rFonts w:hint="eastAsia" w:ascii="仿宋_GB2312" w:hAnsi="仿宋" w:eastAsia="仿宋_GB2312"/>
          <w:sz w:val="32"/>
          <w:szCs w:val="32"/>
          <w:u w:val="none"/>
          <w:lang w:val="en-US" w:eastAsia="zh-CN"/>
        </w:rPr>
        <w:t>22</w:t>
      </w:r>
      <w:r>
        <w:rPr>
          <w:rFonts w:hint="eastAsia" w:ascii="仿宋_GB2312" w:hAnsi="仿宋" w:eastAsia="仿宋_GB2312"/>
          <w:sz w:val="32"/>
          <w:szCs w:val="32"/>
          <w:u w:val="none"/>
        </w:rPr>
        <w:t>年</w:t>
      </w:r>
      <w:r>
        <w:rPr>
          <w:rFonts w:hint="eastAsia" w:ascii="仿宋_GB2312" w:hAnsi="仿宋" w:eastAsia="仿宋_GB2312"/>
          <w:sz w:val="32"/>
          <w:szCs w:val="32"/>
          <w:u w:val="none"/>
          <w:lang w:val="en-US" w:eastAsia="zh-CN"/>
        </w:rPr>
        <w:t>5</w:t>
      </w:r>
      <w:r>
        <w:rPr>
          <w:rFonts w:hint="eastAsia" w:ascii="仿宋_GB2312" w:hAnsi="仿宋" w:eastAsia="仿宋_GB2312"/>
          <w:sz w:val="32"/>
          <w:szCs w:val="32"/>
          <w:u w:val="none"/>
        </w:rPr>
        <w:t>月</w:t>
      </w:r>
      <w:r>
        <w:rPr>
          <w:rFonts w:hint="eastAsia" w:ascii="仿宋_GB2312" w:hAnsi="仿宋" w:eastAsia="仿宋_GB2312"/>
          <w:sz w:val="32"/>
          <w:szCs w:val="32"/>
          <w:u w:val="none"/>
          <w:lang w:val="en-US" w:eastAsia="zh-CN"/>
        </w:rPr>
        <w:t>6</w:t>
      </w:r>
      <w:r>
        <w:rPr>
          <w:rFonts w:hint="eastAsia" w:ascii="仿宋_GB2312" w:hAnsi="仿宋" w:eastAsia="仿宋_GB2312"/>
          <w:sz w:val="32"/>
          <w:szCs w:val="32"/>
          <w:u w:val="none"/>
        </w:rPr>
        <w:t>日，我局</w:t>
      </w:r>
      <w:r>
        <w:rPr>
          <w:rFonts w:hint="eastAsia" w:ascii="仿宋_GB2312" w:hAnsi="仿宋" w:eastAsia="仿宋_GB2312"/>
          <w:sz w:val="32"/>
          <w:szCs w:val="32"/>
          <w:u w:val="none"/>
          <w:lang w:eastAsia="zh-CN"/>
        </w:rPr>
        <w:t>接举报称，举报人</w:t>
      </w:r>
      <w:r>
        <w:rPr>
          <w:rFonts w:hint="eastAsia" w:ascii="仿宋_GB2312" w:hAnsi="仿宋" w:eastAsia="仿宋_GB2312"/>
          <w:sz w:val="32"/>
          <w:szCs w:val="32"/>
          <w:u w:val="none"/>
          <w:lang w:val="en-US" w:eastAsia="zh-CN"/>
        </w:rPr>
        <w:t>于2022年5月5日</w:t>
      </w:r>
      <w:r>
        <w:rPr>
          <w:rFonts w:hint="eastAsia" w:ascii="仿宋_GB2312" w:hAnsi="仿宋" w:eastAsia="仿宋_GB2312"/>
          <w:sz w:val="32"/>
          <w:szCs w:val="32"/>
          <w:u w:val="none"/>
          <w:lang w:eastAsia="zh-CN"/>
        </w:rPr>
        <w:t>从</w:t>
      </w:r>
      <w:r>
        <w:rPr>
          <w:rFonts w:hint="eastAsia" w:ascii="仿宋_GB2312" w:hAnsi="仿宋" w:eastAsia="仿宋_GB2312"/>
          <w:sz w:val="32"/>
          <w:szCs w:val="32"/>
          <w:u w:val="none"/>
          <w:lang w:val="en-US" w:eastAsia="zh-CN"/>
        </w:rPr>
        <w:t>天津市人人乐商业有限公司宜兴埠购物广场购买了1袋“捷式蟹香咸蛋黄锅巴”（规格：128g/袋；生产日期：20220410，保质期：6个月），产品配料表中的阿斯巴甜未标注“含苯丙氨酸”，不符合食品安全法相关规定，望核查处理</w:t>
      </w:r>
      <w:r>
        <w:rPr>
          <w:rFonts w:hint="eastAsia" w:ascii="仿宋_GB2312" w:hAnsi="仿宋" w:eastAsia="仿宋_GB2312"/>
          <w:sz w:val="32"/>
          <w:szCs w:val="32"/>
          <w:u w:val="none"/>
          <w:lang w:eastAsia="zh-CN"/>
        </w:rPr>
        <w:t>。接举报后，我局执法人员于</w:t>
      </w:r>
      <w:r>
        <w:rPr>
          <w:rFonts w:hint="eastAsia" w:ascii="仿宋_GB2312" w:hAnsi="仿宋" w:eastAsia="仿宋_GB2312"/>
          <w:sz w:val="32"/>
          <w:szCs w:val="32"/>
          <w:u w:val="none"/>
          <w:lang w:val="en-US" w:eastAsia="zh-CN"/>
        </w:rPr>
        <w:t>5月7日</w:t>
      </w:r>
      <w:r>
        <w:rPr>
          <w:rFonts w:hint="eastAsia" w:ascii="仿宋_GB2312" w:hAnsi="仿宋" w:eastAsia="仿宋_GB2312"/>
          <w:sz w:val="32"/>
          <w:szCs w:val="32"/>
          <w:u w:val="none"/>
          <w:lang w:eastAsia="zh-CN"/>
        </w:rPr>
        <w:t>对</w:t>
      </w:r>
      <w:r>
        <w:rPr>
          <w:rFonts w:hint="eastAsia" w:ascii="仿宋_GB2312" w:hAnsi="仿宋" w:eastAsia="仿宋_GB2312"/>
          <w:sz w:val="32"/>
          <w:szCs w:val="32"/>
          <w:u w:val="none"/>
          <w:lang w:val="en-US" w:eastAsia="zh-CN"/>
        </w:rPr>
        <w:t>天津市人人乐商业有限公司宜兴埠购物广场</w:t>
      </w:r>
      <w:r>
        <w:rPr>
          <w:rFonts w:hint="eastAsia" w:ascii="仿宋_GB2312" w:hAnsi="仿宋" w:eastAsia="仿宋_GB2312"/>
          <w:sz w:val="32"/>
          <w:szCs w:val="32"/>
          <w:u w:val="none"/>
          <w:lang w:eastAsia="zh-CN"/>
        </w:rPr>
        <w:t>进行检查。现场检查过程中经营场所货架上未发现举报人</w:t>
      </w:r>
      <w:r>
        <w:rPr>
          <w:rFonts w:hint="eastAsia" w:ascii="仿宋_GB2312" w:hAnsi="仿宋" w:eastAsia="仿宋_GB2312"/>
          <w:sz w:val="32"/>
          <w:szCs w:val="32"/>
          <w:u w:val="none"/>
          <w:lang w:val="en-US" w:eastAsia="zh-CN"/>
        </w:rPr>
        <w:t>所购买批次</w:t>
      </w:r>
      <w:r>
        <w:rPr>
          <w:rFonts w:hint="eastAsia" w:ascii="仿宋_GB2312" w:hAnsi="仿宋" w:eastAsia="仿宋_GB2312"/>
          <w:sz w:val="32"/>
          <w:szCs w:val="32"/>
          <w:u w:val="none"/>
          <w:lang w:eastAsia="zh-CN"/>
        </w:rPr>
        <w:t>的“捷式蟹香咸蛋黄锅巴”（规格：</w:t>
      </w:r>
      <w:r>
        <w:rPr>
          <w:rFonts w:hint="eastAsia" w:ascii="仿宋_GB2312" w:hAnsi="仿宋" w:eastAsia="仿宋_GB2312"/>
          <w:sz w:val="32"/>
          <w:szCs w:val="32"/>
          <w:u w:val="none"/>
          <w:lang w:val="en-US" w:eastAsia="zh-CN"/>
        </w:rPr>
        <w:t>128g/袋；生产日期：20220410，保质期：6个月</w:t>
      </w:r>
      <w:r>
        <w:rPr>
          <w:rFonts w:hint="eastAsia" w:ascii="仿宋_GB2312" w:hAnsi="仿宋" w:eastAsia="仿宋_GB2312"/>
          <w:sz w:val="32"/>
          <w:szCs w:val="32"/>
          <w:u w:val="none"/>
          <w:lang w:eastAsia="zh-CN"/>
        </w:rPr>
        <w:t>）。经查询，</w:t>
      </w:r>
      <w:r>
        <w:rPr>
          <w:rFonts w:hint="eastAsia" w:ascii="仿宋_GB2312" w:hAnsi="仿宋" w:eastAsia="仿宋_GB2312"/>
          <w:sz w:val="32"/>
          <w:szCs w:val="32"/>
          <w:u w:val="none"/>
          <w:lang w:val="en-US" w:eastAsia="zh-CN"/>
        </w:rPr>
        <w:t>上述产品在仓库内有存货，随后执法人员在仓库内发现11袋涉案批次</w:t>
      </w:r>
      <w:r>
        <w:rPr>
          <w:rFonts w:hint="eastAsia" w:ascii="仿宋_GB2312" w:hAnsi="仿宋" w:eastAsia="仿宋_GB2312"/>
          <w:sz w:val="32"/>
          <w:szCs w:val="32"/>
          <w:u w:val="none"/>
          <w:lang w:eastAsia="zh-CN"/>
        </w:rPr>
        <w:t>“捷式蟹香咸蛋黄锅巴”，产品标签的配料表标明含有“阿斯巴甜”，但未注明“含苯丙氨酸”。当事人承认售出过上述批次产品。执法人员现</w:t>
      </w:r>
      <w:r>
        <w:rPr>
          <w:rFonts w:hint="eastAsia" w:ascii="仿宋_GB2312" w:hAnsi="仿宋" w:eastAsia="仿宋_GB2312"/>
          <w:sz w:val="32"/>
          <w:szCs w:val="32"/>
          <w:u w:val="none"/>
          <w:lang w:val="en-US" w:eastAsia="zh-CN"/>
        </w:rPr>
        <w:t>场下达了津辰市监普强制[2022]9号实施行政强制措施决定书，对上述11袋涉案产品予以扣押</w:t>
      </w:r>
      <w:r>
        <w:rPr>
          <w:rFonts w:hint="eastAsia" w:ascii="仿宋_GB2312" w:hAnsi="仿宋" w:eastAsia="仿宋_GB2312"/>
          <w:sz w:val="32"/>
          <w:szCs w:val="32"/>
          <w:u w:val="none"/>
          <w:lang w:eastAsia="zh-CN"/>
        </w:rPr>
        <w:t>，当事人未陈述、申辩。</w:t>
      </w:r>
      <w:r>
        <w:rPr>
          <w:rFonts w:hint="eastAsia" w:ascii="仿宋_GB2312" w:hAnsi="仿宋" w:eastAsia="仿宋_GB2312"/>
          <w:sz w:val="32"/>
          <w:szCs w:val="32"/>
          <w:u w:val="none"/>
          <w:lang w:val="en-US" w:eastAsia="zh-CN"/>
        </w:rPr>
        <w:t>同日</w:t>
      </w:r>
      <w:r>
        <w:rPr>
          <w:rFonts w:hint="eastAsia" w:ascii="仿宋_GB2312" w:hAnsi="仿宋" w:eastAsia="仿宋_GB2312"/>
          <w:sz w:val="32"/>
          <w:szCs w:val="32"/>
          <w:u w:val="none"/>
          <w:lang w:eastAsia="zh-CN"/>
        </w:rPr>
        <w:t>执法人员报经局领导批准，予以立案调查。</w:t>
      </w:r>
      <w:r>
        <w:rPr>
          <w:rFonts w:hint="eastAsia" w:ascii="仿宋_GB2312" w:hAnsi="仿宋" w:eastAsia="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color w:val="000000"/>
          <w:sz w:val="32"/>
          <w:szCs w:val="32"/>
          <w:u w:val="none"/>
          <w:lang w:val="en-US" w:eastAsia="zh-CN"/>
        </w:rPr>
      </w:pPr>
      <w:r>
        <w:rPr>
          <w:rFonts w:hint="eastAsia" w:ascii="仿宋_GB2312" w:hAnsi="仿宋" w:eastAsia="仿宋_GB2312"/>
          <w:sz w:val="32"/>
          <w:szCs w:val="32"/>
          <w:u w:val="none"/>
          <w:lang w:val="en-US" w:eastAsia="zh-CN"/>
        </w:rPr>
        <w:t>当事人于2022年4月30日从供货商</w:t>
      </w:r>
      <w:r>
        <w:rPr>
          <w:rFonts w:hint="eastAsia" w:ascii="仿宋_GB2312" w:hAnsi="仿宋" w:eastAsia="仿宋_GB2312"/>
          <w:sz w:val="32"/>
          <w:szCs w:val="32"/>
          <w:u w:val="none"/>
          <w:lang w:eastAsia="zh-CN"/>
        </w:rPr>
        <w:t>“深圳捷森食品科技有限公司”</w:t>
      </w:r>
      <w:r>
        <w:rPr>
          <w:rFonts w:hint="eastAsia" w:ascii="仿宋_GB2312" w:hAnsi="仿宋" w:eastAsia="仿宋_GB2312"/>
          <w:sz w:val="32"/>
          <w:szCs w:val="32"/>
          <w:u w:val="none"/>
          <w:lang w:val="en-US" w:eastAsia="zh-CN"/>
        </w:rPr>
        <w:t>购进20袋“捷式蟹香咸蛋黄锅巴”（规格：128g/袋；生产日期：20220410，保质期：6个月，购进价格：</w:t>
      </w:r>
      <w:r>
        <w:rPr>
          <w:rFonts w:hint="default" w:ascii="Times New Roman" w:hAnsi="Times New Roman" w:eastAsia="仿宋_GB2312" w:cs="Times New Roman"/>
          <w:sz w:val="32"/>
          <w:szCs w:val="32"/>
          <w:u w:val="none"/>
          <w:lang w:val="en-US" w:eastAsia="zh-CN"/>
        </w:rPr>
        <w:t>8.036</w:t>
      </w:r>
      <w:r>
        <w:rPr>
          <w:rFonts w:hint="eastAsia" w:ascii="仿宋_GB2312" w:hAnsi="仿宋" w:eastAsia="仿宋_GB2312"/>
          <w:sz w:val="32"/>
          <w:szCs w:val="32"/>
          <w:u w:val="none"/>
          <w:lang w:val="en-US" w:eastAsia="zh-CN"/>
        </w:rPr>
        <w:t>元/袋）置于场所内待售。</w:t>
      </w:r>
      <w:r>
        <w:rPr>
          <w:rFonts w:hint="eastAsia" w:ascii="仿宋_GB2312" w:hAnsi="仿宋" w:eastAsia="仿宋_GB2312"/>
          <w:sz w:val="32"/>
          <w:szCs w:val="32"/>
          <w:u w:val="none"/>
          <w:lang w:eastAsia="zh-CN"/>
        </w:rPr>
        <w:t>产品标签的配料表标明含有“阿斯巴甜”，但未按</w:t>
      </w:r>
      <w:r>
        <w:rPr>
          <w:rFonts w:hint="eastAsia" w:ascii="仿宋_GB2312" w:hAnsi="仿宋" w:eastAsia="仿宋_GB2312"/>
          <w:sz w:val="32"/>
          <w:szCs w:val="32"/>
          <w:u w:val="none"/>
          <w:lang w:val="en-US" w:eastAsia="zh-CN"/>
        </w:rPr>
        <w:t>GB2760-2014标准要求</w:t>
      </w:r>
      <w:r>
        <w:rPr>
          <w:rFonts w:hint="eastAsia" w:ascii="仿宋_GB2312" w:hAnsi="仿宋" w:eastAsia="仿宋_GB2312"/>
          <w:sz w:val="32"/>
          <w:szCs w:val="32"/>
          <w:u w:val="none"/>
          <w:lang w:eastAsia="zh-CN"/>
        </w:rPr>
        <w:t>注明“含苯丙氨酸”。</w:t>
      </w:r>
      <w:r>
        <w:rPr>
          <w:rFonts w:hint="eastAsia" w:ascii="仿宋_GB2312" w:hAnsi="仿宋" w:eastAsia="仿宋_GB2312"/>
          <w:sz w:val="32"/>
          <w:szCs w:val="32"/>
          <w:u w:val="none"/>
          <w:lang w:val="en-US" w:eastAsia="zh-CN"/>
        </w:rPr>
        <w:t>上述行为满足经营标签不符合食品安全法规定的食品构成要件。截止到执法人员检查期间产品售出9袋，售价为</w:t>
      </w:r>
      <w:r>
        <w:rPr>
          <w:rFonts w:hint="eastAsia" w:ascii="Times New Roman" w:hAnsi="Times New Roman" w:eastAsia="仿宋_GB2312" w:cs="Times New Roman"/>
          <w:sz w:val="32"/>
          <w:szCs w:val="32"/>
          <w:u w:val="none"/>
          <w:lang w:val="en-US" w:eastAsia="zh-CN"/>
        </w:rPr>
        <w:t>9.89</w:t>
      </w:r>
      <w:r>
        <w:rPr>
          <w:rFonts w:hint="eastAsia" w:ascii="仿宋" w:hAnsi="仿宋" w:eastAsia="仿宋" w:cs="宋体"/>
          <w:color w:val="000000"/>
          <w:kern w:val="0"/>
          <w:sz w:val="32"/>
          <w:szCs w:val="32"/>
          <w:u w:val="none"/>
          <w:lang w:val="en-US" w:eastAsia="zh-CN"/>
        </w:rPr>
        <w:t>元/袋，</w:t>
      </w:r>
      <w:r>
        <w:rPr>
          <w:rFonts w:hint="eastAsia" w:ascii="仿宋_GB2312" w:hAnsi="仿宋" w:eastAsia="仿宋_GB2312"/>
          <w:sz w:val="32"/>
          <w:szCs w:val="32"/>
          <w:u w:val="none"/>
          <w:lang w:val="en-US" w:eastAsia="zh-CN"/>
        </w:rPr>
        <w:t>本案货值金额</w:t>
      </w:r>
      <w:r>
        <w:rPr>
          <w:rFonts w:hint="default" w:ascii="Times New Roman" w:hAnsi="Times New Roman" w:eastAsia="仿宋" w:cs="Times New Roman"/>
          <w:sz w:val="32"/>
          <w:szCs w:val="32"/>
          <w:u w:val="none"/>
          <w:lang w:val="en-US" w:eastAsia="zh-CN"/>
        </w:rPr>
        <w:t>197.80</w:t>
      </w:r>
      <w:r>
        <w:rPr>
          <w:rFonts w:hint="eastAsia" w:ascii="仿宋_GB2312" w:hAnsi="仿宋" w:eastAsia="仿宋_GB2312"/>
          <w:sz w:val="32"/>
          <w:szCs w:val="32"/>
          <w:u w:val="none"/>
          <w:lang w:val="en-US" w:eastAsia="zh-CN"/>
        </w:rPr>
        <w:t>元，违法所得</w:t>
      </w:r>
      <w:r>
        <w:rPr>
          <w:rFonts w:hint="default" w:ascii="Times New Roman" w:hAnsi="Times New Roman" w:eastAsia="仿宋" w:cs="Times New Roman"/>
          <w:sz w:val="32"/>
          <w:szCs w:val="32"/>
          <w:u w:val="none"/>
          <w:lang w:val="en-US" w:eastAsia="zh-CN"/>
        </w:rPr>
        <w:t>16.69</w:t>
      </w:r>
      <w:r>
        <w:rPr>
          <w:rFonts w:hint="eastAsia" w:ascii="仿宋" w:hAnsi="仿宋" w:eastAsia="仿宋"/>
          <w:sz w:val="32"/>
          <w:szCs w:val="32"/>
          <w:u w:val="none"/>
          <w:lang w:val="en-US" w:eastAsia="zh-CN"/>
        </w:rPr>
        <w:t>元</w:t>
      </w:r>
      <w:r>
        <w:rPr>
          <w:rFonts w:hint="eastAsia" w:ascii="仿宋_GB2312" w:hAnsi="仿宋" w:eastAsia="仿宋_GB2312"/>
          <w:sz w:val="32"/>
          <w:szCs w:val="32"/>
          <w:u w:val="none"/>
          <w:lang w:val="en-US" w:eastAsia="zh-CN"/>
        </w:rPr>
        <w:t>。</w:t>
      </w:r>
      <w:r>
        <w:rPr>
          <w:rFonts w:hint="eastAsia" w:ascii="仿宋_GB2312" w:hAnsi="仿宋" w:eastAsia="仿宋_GB2312"/>
          <w:color w:val="000000"/>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仿宋"/>
          <w:bCs/>
          <w:color w:val="000000"/>
          <w:sz w:val="32"/>
          <w:szCs w:val="32"/>
          <w:u w:val="none"/>
          <w:lang w:val="en-US" w:eastAsia="zh-CN"/>
        </w:rPr>
      </w:pPr>
      <w:r>
        <w:rPr>
          <w:rFonts w:hint="eastAsia" w:ascii="Times New Roman" w:hAnsi="Times New Roman" w:eastAsia="仿宋_GB2312" w:cs="仿宋"/>
          <w:color w:val="000000"/>
          <w:sz w:val="32"/>
          <w:szCs w:val="32"/>
          <w:u w:val="none"/>
        </w:rPr>
        <w:t>上述事实，主要有以下证据证明：1.</w:t>
      </w:r>
      <w:r>
        <w:rPr>
          <w:rFonts w:hint="eastAsia" w:ascii="仿宋_GB2312" w:eastAsia="仿宋_GB2312"/>
          <w:sz w:val="32"/>
          <w:szCs w:val="32"/>
          <w:u w:val="none"/>
        </w:rPr>
        <w:t>当事人的营业执照、食品经营许可证复印件、</w:t>
      </w:r>
      <w:r>
        <w:rPr>
          <w:rFonts w:hint="eastAsia" w:ascii="仿宋_GB2312" w:eastAsia="仿宋_GB2312"/>
          <w:sz w:val="32"/>
          <w:szCs w:val="32"/>
          <w:u w:val="none"/>
          <w:lang w:eastAsia="zh-CN"/>
        </w:rPr>
        <w:t>负责人张天水</w:t>
      </w:r>
      <w:r>
        <w:rPr>
          <w:rFonts w:hint="eastAsia" w:ascii="仿宋_GB2312" w:eastAsia="仿宋_GB2312"/>
          <w:sz w:val="32"/>
          <w:szCs w:val="32"/>
          <w:u w:val="none"/>
        </w:rPr>
        <w:t>身份证复印件</w:t>
      </w:r>
      <w:r>
        <w:rPr>
          <w:rFonts w:hint="eastAsia" w:ascii="Times New Roman" w:hAnsi="Times New Roman" w:eastAsia="仿宋_GB2312" w:cs="仿宋"/>
          <w:color w:val="000000"/>
          <w:sz w:val="32"/>
          <w:szCs w:val="32"/>
          <w:u w:val="none"/>
        </w:rPr>
        <w:t>；2</w:t>
      </w:r>
      <w:r>
        <w:rPr>
          <w:rFonts w:hint="eastAsia" w:ascii="仿宋_GB2312" w:eastAsia="仿宋_GB2312"/>
          <w:sz w:val="32"/>
          <w:szCs w:val="32"/>
          <w:u w:val="none"/>
        </w:rPr>
        <w:t>现场笔录</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2022年5月7日</w:t>
      </w:r>
      <w:r>
        <w:rPr>
          <w:rFonts w:hint="eastAsia" w:ascii="仿宋_GB2312" w:eastAsia="仿宋_GB2312"/>
          <w:sz w:val="32"/>
          <w:szCs w:val="32"/>
          <w:u w:val="none"/>
          <w:lang w:eastAsia="zh-CN"/>
        </w:rPr>
        <w:t>）</w:t>
      </w:r>
      <w:r>
        <w:rPr>
          <w:rFonts w:hint="eastAsia" w:ascii="仿宋_GB2312" w:eastAsia="仿宋_GB2312"/>
          <w:sz w:val="32"/>
          <w:szCs w:val="32"/>
          <w:u w:val="none"/>
        </w:rPr>
        <w:t>、现场照片</w:t>
      </w:r>
      <w:r>
        <w:rPr>
          <w:rFonts w:hint="eastAsia" w:ascii="Times New Roman" w:hAnsi="Times New Roman" w:eastAsia="仿宋_GB2312" w:cs="仿宋"/>
          <w:color w:val="000000"/>
          <w:sz w:val="32"/>
          <w:szCs w:val="32"/>
          <w:u w:val="none"/>
        </w:rPr>
        <w:t>；3.</w:t>
      </w:r>
      <w:r>
        <w:rPr>
          <w:rFonts w:hint="eastAsia" w:ascii="仿宋_GB2312" w:eastAsia="仿宋_GB2312"/>
          <w:sz w:val="32"/>
          <w:szCs w:val="32"/>
          <w:u w:val="none"/>
          <w:lang w:eastAsia="zh-CN"/>
        </w:rPr>
        <w:t>授权委托书、被委托人杨洁身份证复印件、对被委托人杨洁的询问笔录</w:t>
      </w:r>
      <w:r>
        <w:rPr>
          <w:rFonts w:hint="eastAsia" w:ascii="Times New Roman" w:hAnsi="Times New Roman" w:eastAsia="仿宋_GB2312" w:cs="仿宋"/>
          <w:color w:val="000000"/>
          <w:sz w:val="32"/>
          <w:szCs w:val="32"/>
          <w:u w:val="none"/>
        </w:rPr>
        <w:t>；4.</w:t>
      </w:r>
      <w:r>
        <w:rPr>
          <w:rFonts w:hint="eastAsia" w:ascii="仿宋_GB2312" w:eastAsia="仿宋_GB2312"/>
          <w:sz w:val="32"/>
          <w:szCs w:val="32"/>
          <w:u w:val="none"/>
          <w:lang w:eastAsia="zh-CN"/>
        </w:rPr>
        <w:t>锅巴食品</w:t>
      </w:r>
      <w:r>
        <w:rPr>
          <w:rFonts w:hint="eastAsia" w:ascii="仿宋_GB2312" w:eastAsia="仿宋_GB2312"/>
          <w:sz w:val="32"/>
          <w:szCs w:val="32"/>
          <w:u w:val="none"/>
        </w:rPr>
        <w:t>货值金额</w:t>
      </w:r>
      <w:r>
        <w:rPr>
          <w:rFonts w:hint="eastAsia" w:ascii="仿宋_GB2312" w:eastAsia="仿宋_GB2312"/>
          <w:sz w:val="32"/>
          <w:szCs w:val="32"/>
          <w:u w:val="none"/>
          <w:lang w:eastAsia="zh-CN"/>
        </w:rPr>
        <w:t>、违法所得</w:t>
      </w:r>
      <w:r>
        <w:rPr>
          <w:rFonts w:hint="eastAsia" w:ascii="仿宋_GB2312" w:eastAsia="仿宋_GB2312"/>
          <w:sz w:val="32"/>
          <w:szCs w:val="32"/>
          <w:u w:val="none"/>
        </w:rPr>
        <w:t>计算说明</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5.当事人提供的涉案批次锅巴供货商资质和购进验收记录、销售记录。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
          <w:bCs/>
          <w:color w:val="000000"/>
          <w:sz w:val="32"/>
          <w:szCs w:val="32"/>
          <w:u w:val="none"/>
        </w:rPr>
      </w:pPr>
      <w:r>
        <w:rPr>
          <w:rFonts w:hint="eastAsia" w:ascii="Times New Roman" w:hAnsi="Times New Roman" w:eastAsia="仿宋_GB2312" w:cs="仿宋"/>
          <w:bCs/>
          <w:color w:val="000000"/>
          <w:sz w:val="32"/>
          <w:szCs w:val="32"/>
          <w:u w:val="none"/>
        </w:rPr>
        <w:t>本局于</w:t>
      </w:r>
      <w:r>
        <w:rPr>
          <w:rFonts w:hint="eastAsia" w:ascii="Times New Roman" w:hAnsi="Times New Roman" w:eastAsia="仿宋_GB2312" w:cs="仿宋"/>
          <w:bCs/>
          <w:color w:val="000000" w:themeColor="text1"/>
          <w:sz w:val="32"/>
          <w:szCs w:val="32"/>
          <w:u w:val="none"/>
          <w14:textFill>
            <w14:solidFill>
              <w14:schemeClr w14:val="tx1"/>
            </w14:solidFill>
          </w14:textFill>
        </w:rPr>
        <w:t>20</w:t>
      </w:r>
      <w:r>
        <w:rPr>
          <w:rFonts w:hint="eastAsia" w:ascii="Times New Roman" w:hAnsi="Times New Roman" w:eastAsia="仿宋_GB2312" w:cs="仿宋"/>
          <w:bCs/>
          <w:color w:val="000000" w:themeColor="text1"/>
          <w:sz w:val="32"/>
          <w:szCs w:val="32"/>
          <w:u w:val="none"/>
          <w:lang w:val="en-US" w:eastAsia="zh-CN"/>
          <w14:textFill>
            <w14:solidFill>
              <w14:schemeClr w14:val="tx1"/>
            </w14:solidFill>
          </w14:textFill>
        </w:rPr>
        <w:t>22</w:t>
      </w:r>
      <w:r>
        <w:rPr>
          <w:rFonts w:hint="eastAsia" w:ascii="Times New Roman" w:hAnsi="Times New Roman" w:eastAsia="仿宋_GB2312" w:cs="仿宋"/>
          <w:bCs/>
          <w:color w:val="000000" w:themeColor="text1"/>
          <w:sz w:val="32"/>
          <w:szCs w:val="32"/>
          <w:u w:val="none"/>
          <w14:textFill>
            <w14:solidFill>
              <w14:schemeClr w14:val="tx1"/>
            </w14:solidFill>
          </w14:textFill>
        </w:rPr>
        <w:t>年</w:t>
      </w:r>
      <w:r>
        <w:rPr>
          <w:rFonts w:hint="eastAsia" w:ascii="Times New Roman" w:hAnsi="Times New Roman" w:eastAsia="仿宋_GB2312" w:cs="仿宋"/>
          <w:bCs/>
          <w:color w:val="000000" w:themeColor="text1"/>
          <w:sz w:val="32"/>
          <w:szCs w:val="32"/>
          <w:u w:val="none"/>
          <w:lang w:val="en-US" w:eastAsia="zh-CN"/>
          <w14:textFill>
            <w14:solidFill>
              <w14:schemeClr w14:val="tx1"/>
            </w14:solidFill>
          </w14:textFill>
        </w:rPr>
        <w:t>5</w:t>
      </w:r>
      <w:r>
        <w:rPr>
          <w:rFonts w:hint="eastAsia" w:ascii="Times New Roman" w:hAnsi="Times New Roman" w:eastAsia="仿宋_GB2312" w:cs="仿宋"/>
          <w:bCs/>
          <w:color w:val="000000" w:themeColor="text1"/>
          <w:sz w:val="32"/>
          <w:szCs w:val="32"/>
          <w:u w:val="none"/>
          <w14:textFill>
            <w14:solidFill>
              <w14:schemeClr w14:val="tx1"/>
            </w14:solidFill>
          </w14:textFill>
        </w:rPr>
        <w:t>月</w:t>
      </w:r>
      <w:r>
        <w:rPr>
          <w:rFonts w:hint="eastAsia" w:ascii="Times New Roman" w:hAnsi="Times New Roman" w:eastAsia="仿宋_GB2312" w:cs="仿宋"/>
          <w:bCs/>
          <w:color w:val="000000" w:themeColor="text1"/>
          <w:sz w:val="32"/>
          <w:szCs w:val="32"/>
          <w:u w:val="none"/>
          <w:lang w:val="en-US" w:eastAsia="zh-CN"/>
          <w14:textFill>
            <w14:solidFill>
              <w14:schemeClr w14:val="tx1"/>
            </w14:solidFill>
          </w14:textFill>
        </w:rPr>
        <w:t>31</w:t>
      </w:r>
      <w:r>
        <w:rPr>
          <w:rFonts w:hint="eastAsia" w:ascii="Times New Roman" w:hAnsi="Times New Roman" w:eastAsia="仿宋_GB2312" w:cs="仿宋"/>
          <w:bCs/>
          <w:color w:val="000000" w:themeColor="text1"/>
          <w:sz w:val="32"/>
          <w:szCs w:val="32"/>
          <w:u w:val="none"/>
          <w14:textFill>
            <w14:solidFill>
              <w14:schemeClr w14:val="tx1"/>
            </w14:solidFill>
          </w14:textFill>
        </w:rPr>
        <w:t>日</w:t>
      </w:r>
      <w:r>
        <w:rPr>
          <w:rFonts w:hint="eastAsia" w:ascii="Times New Roman" w:hAnsi="Times New Roman" w:eastAsia="仿宋_GB2312" w:cs="仿宋"/>
          <w:bCs/>
          <w:color w:val="000000"/>
          <w:sz w:val="32"/>
          <w:szCs w:val="32"/>
          <w:u w:val="none"/>
        </w:rPr>
        <w:t>依法向当事人送达了《行政处罚告知书》（津辰市监罚告〔20</w:t>
      </w:r>
      <w:r>
        <w:rPr>
          <w:rFonts w:hint="eastAsia" w:ascii="Times New Roman" w:hAnsi="Times New Roman" w:eastAsia="仿宋_GB2312" w:cs="仿宋"/>
          <w:bCs/>
          <w:color w:val="000000"/>
          <w:sz w:val="32"/>
          <w:szCs w:val="32"/>
          <w:u w:val="none"/>
          <w:lang w:val="en-US" w:eastAsia="zh-CN"/>
        </w:rPr>
        <w:t>22</w:t>
      </w:r>
      <w:r>
        <w:rPr>
          <w:rFonts w:hint="eastAsia" w:ascii="Times New Roman" w:hAnsi="Times New Roman" w:eastAsia="仿宋_GB2312" w:cs="仿宋"/>
          <w:bCs/>
          <w:color w:val="000000"/>
          <w:sz w:val="32"/>
          <w:szCs w:val="32"/>
          <w:u w:val="none"/>
        </w:rPr>
        <w:t>〕</w:t>
      </w:r>
      <w:r>
        <w:rPr>
          <w:rFonts w:hint="eastAsia" w:ascii="Times New Roman" w:hAnsi="Times New Roman" w:eastAsia="仿宋_GB2312" w:cs="仿宋"/>
          <w:bCs/>
          <w:color w:val="000000"/>
          <w:sz w:val="32"/>
          <w:szCs w:val="32"/>
          <w:u w:val="none"/>
          <w:lang w:val="en-US" w:eastAsia="zh-CN"/>
        </w:rPr>
        <w:t>369</w:t>
      </w:r>
      <w:r>
        <w:rPr>
          <w:rFonts w:hint="eastAsia" w:ascii="Times New Roman" w:hAnsi="Times New Roman" w:eastAsia="仿宋_GB2312" w:cs="仿宋"/>
          <w:bCs/>
          <w:color w:val="000000"/>
          <w:sz w:val="32"/>
          <w:szCs w:val="32"/>
          <w:u w:val="none"/>
        </w:rPr>
        <w:t>号），当事人未提出陈述申辩意见。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s="仿宋_GB2312"/>
          <w:sz w:val="32"/>
          <w:szCs w:val="32"/>
          <w:u w:val="none"/>
          <w:lang w:val="en-US" w:eastAsia="zh-CN"/>
        </w:rPr>
      </w:pPr>
      <w:r>
        <w:rPr>
          <w:rFonts w:hint="eastAsia" w:ascii="仿宋_GB2312" w:hAnsi="楷体_GB2312" w:eastAsia="仿宋_GB2312" w:cs="楷体_GB2312"/>
          <w:color w:val="000000"/>
          <w:sz w:val="32"/>
          <w:szCs w:val="32"/>
          <w:u w:val="none"/>
        </w:rPr>
        <w:t>本局认为，</w:t>
      </w:r>
      <w:r>
        <w:rPr>
          <w:rFonts w:hint="eastAsia" w:ascii="仿宋_GB2312" w:eastAsia="仿宋_GB2312" w:cs="仿宋_GB2312"/>
          <w:sz w:val="32"/>
          <w:szCs w:val="32"/>
          <w:u w:val="none"/>
        </w:rPr>
        <w:t>当事人上述行为违反了</w:t>
      </w:r>
      <w:r>
        <w:rPr>
          <w:rFonts w:hint="eastAsia" w:ascii="仿宋_GB2312" w:hAnsi="仿宋" w:eastAsia="仿宋_GB2312"/>
          <w:sz w:val="32"/>
          <w:szCs w:val="32"/>
          <w:u w:val="none"/>
        </w:rPr>
        <w:t>《中华人民共和国食品安全法》第</w:t>
      </w:r>
      <w:r>
        <w:rPr>
          <w:rFonts w:hint="eastAsia" w:ascii="仿宋_GB2312" w:hAnsi="仿宋" w:eastAsia="仿宋_GB2312"/>
          <w:sz w:val="32"/>
          <w:szCs w:val="32"/>
          <w:u w:val="none"/>
          <w:lang w:eastAsia="zh-CN"/>
        </w:rPr>
        <w:t>六十七</w:t>
      </w:r>
      <w:r>
        <w:rPr>
          <w:rFonts w:hint="eastAsia" w:ascii="仿宋_GB2312" w:hAnsi="仿宋" w:eastAsia="仿宋_GB2312"/>
          <w:sz w:val="32"/>
          <w:szCs w:val="32"/>
          <w:u w:val="none"/>
        </w:rPr>
        <w:t>条</w:t>
      </w:r>
      <w:r>
        <w:rPr>
          <w:rFonts w:hint="eastAsia" w:ascii="仿宋_GB2312" w:hAnsi="仿宋" w:eastAsia="仿宋_GB2312"/>
          <w:sz w:val="32"/>
          <w:szCs w:val="32"/>
          <w:u w:val="none"/>
          <w:lang w:eastAsia="zh-CN"/>
        </w:rPr>
        <w:t>第</w:t>
      </w:r>
      <w:r>
        <w:rPr>
          <w:rFonts w:hint="eastAsia" w:ascii="仿宋_GB2312" w:eastAsia="仿宋_GB2312"/>
          <w:sz w:val="32"/>
          <w:szCs w:val="32"/>
          <w:u w:val="none"/>
          <w:lang w:val="en-US" w:eastAsia="zh-CN"/>
        </w:rPr>
        <w:t>一款第九项：“</w:t>
      </w:r>
      <w:r>
        <w:rPr>
          <w:rFonts w:hint="eastAsia" w:ascii="仿宋_GB2312" w:eastAsia="仿宋_GB2312" w:cs="仿宋_GB2312"/>
          <w:sz w:val="32"/>
          <w:szCs w:val="32"/>
          <w:u w:val="none"/>
          <w:lang w:val="en-US" w:eastAsia="zh-CN"/>
        </w:rPr>
        <w:t>预包装食品的包装上应当有标签。标签应当标明下列事项：</w:t>
      </w:r>
      <w:r>
        <w:rPr>
          <w:rFonts w:hint="eastAsia" w:ascii="仿宋_GB2312" w:eastAsia="仿宋_GB2312" w:cs="仿宋_GB2312"/>
          <w:sz w:val="32"/>
          <w:szCs w:val="32"/>
          <w:u w:val="none"/>
          <w:lang w:val="en-US"/>
        </w:rPr>
        <w:t>（九）法律、法规或者食品安全标准规定应当标明的其他事项。</w:t>
      </w:r>
      <w:r>
        <w:rPr>
          <w:rFonts w:hint="eastAsia" w:ascii="仿宋_GB2312" w:eastAsia="仿宋_GB2312" w:cs="仿宋_GB2312"/>
          <w:sz w:val="32"/>
          <w:szCs w:val="32"/>
          <w:u w:val="none"/>
          <w:lang w:val="en-US" w:eastAsia="zh-CN"/>
        </w:rPr>
        <w:t>”的规定。</w:t>
      </w:r>
      <w:r>
        <w:rPr>
          <w:rFonts w:hint="eastAsia" w:ascii="仿宋_GB2312" w:hAnsi="宋体" w:eastAsia="仿宋_GB2312" w:cs="宋体"/>
          <w:color w:val="212121"/>
          <w:kern w:val="0"/>
          <w:sz w:val="32"/>
          <w:szCs w:val="32"/>
          <w:u w:val="none"/>
          <w:lang w:eastAsia="zh-CN"/>
        </w:rPr>
        <w:t>鉴于</w:t>
      </w:r>
      <w:r>
        <w:rPr>
          <w:rFonts w:hint="eastAsia" w:ascii="仿宋_GB2312" w:eastAsia="仿宋_GB2312" w:cs="仿宋_GB2312"/>
          <w:sz w:val="32"/>
          <w:szCs w:val="32"/>
          <w:u w:val="none"/>
          <w:lang w:val="en-US" w:eastAsia="zh-CN"/>
        </w:rPr>
        <w:t>当事人曾于2021年6月7日因</w:t>
      </w:r>
      <w:r>
        <w:rPr>
          <w:rFonts w:hint="eastAsia" w:ascii="仿宋_GB2312" w:hAnsi="仿宋_GB2312" w:eastAsia="仿宋_GB2312" w:cs="仿宋_GB2312"/>
          <w:b w:val="0"/>
          <w:bCs w:val="0"/>
          <w:sz w:val="32"/>
          <w:szCs w:val="32"/>
          <w:u w:val="none"/>
          <w:lang w:val="en-US" w:eastAsia="zh-CN"/>
        </w:rPr>
        <w:t>经营标签不符合食品安全法相关规定的食品被我局给予行政处罚（</w:t>
      </w:r>
      <w:r>
        <w:rPr>
          <w:rFonts w:hint="eastAsia" w:ascii="Times New Roman" w:hAnsi="Times New Roman" w:eastAsia="仿宋_GB2312" w:cs="仿宋"/>
          <w:color w:val="000000"/>
          <w:sz w:val="32"/>
          <w:szCs w:val="32"/>
          <w:u w:val="none"/>
        </w:rPr>
        <w:t>津辰</w:t>
      </w:r>
      <w:r>
        <w:rPr>
          <w:rFonts w:hint="eastAsia" w:ascii="Times New Roman" w:hAnsi="Times New Roman" w:eastAsia="仿宋_GB2312" w:cs="仿宋"/>
          <w:color w:val="000000"/>
          <w:sz w:val="32"/>
          <w:szCs w:val="32"/>
          <w:u w:val="none"/>
        </w:rPr>
        <w:t>市监</w:t>
      </w:r>
      <w:r>
        <w:rPr>
          <w:rFonts w:hint="eastAsia" w:ascii="Times New Roman" w:hAnsi="Times New Roman" w:eastAsia="仿宋_GB2312" w:cs="仿宋"/>
          <w:color w:val="000000"/>
          <w:sz w:val="32"/>
          <w:szCs w:val="32"/>
          <w:u w:val="none"/>
        </w:rPr>
        <w:t>罚</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rPr>
        <w:t>20</w:t>
      </w:r>
      <w:r>
        <w:rPr>
          <w:rFonts w:hint="eastAsia" w:ascii="Times New Roman" w:hAnsi="Times New Roman" w:eastAsia="仿宋_GB2312" w:cs="仿宋"/>
          <w:color w:val="000000"/>
          <w:sz w:val="32"/>
          <w:szCs w:val="32"/>
          <w:u w:val="none"/>
          <w:lang w:val="en-US" w:eastAsia="zh-CN"/>
        </w:rPr>
        <w:t>21</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lang w:val="en-US" w:eastAsia="zh-CN"/>
        </w:rPr>
        <w:t>224</w:t>
      </w:r>
      <w:r>
        <w:rPr>
          <w:rFonts w:hint="eastAsia" w:ascii="Times New Roman" w:hAnsi="Times New Roman" w:eastAsia="仿宋_GB2312" w:cs="仿宋"/>
          <w:color w:val="000000"/>
          <w:sz w:val="32"/>
          <w:szCs w:val="32"/>
          <w:u w:val="none"/>
        </w:rPr>
        <w:t>号</w:t>
      </w:r>
      <w:r>
        <w:rPr>
          <w:rFonts w:hint="eastAsia" w:ascii="仿宋_GB2312" w:hAnsi="仿宋_GB2312" w:eastAsia="仿宋_GB2312" w:cs="仿宋_GB2312"/>
          <w:b w:val="0"/>
          <w:bCs w:val="0"/>
          <w:sz w:val="32"/>
          <w:szCs w:val="32"/>
          <w:u w:val="none"/>
          <w:lang w:val="en-US" w:eastAsia="zh-CN"/>
        </w:rPr>
        <w:t>）。此次为实施同一违法行为，</w:t>
      </w:r>
      <w:r>
        <w:rPr>
          <w:rFonts w:hint="eastAsia" w:ascii="仿宋_GB2312" w:hAnsi="仿宋" w:eastAsia="仿宋_GB2312"/>
          <w:sz w:val="32"/>
          <w:szCs w:val="32"/>
          <w:u w:val="none"/>
          <w:lang w:eastAsia="zh-CN"/>
        </w:rPr>
        <w:t>符合</w:t>
      </w:r>
      <w:r>
        <w:rPr>
          <w:rFonts w:hint="eastAsia" w:ascii="仿宋_GB2312" w:hAnsi="仿宋" w:eastAsia="仿宋_GB2312"/>
          <w:sz w:val="32"/>
          <w:szCs w:val="32"/>
          <w:u w:val="none"/>
        </w:rPr>
        <w:t>《天津市市场和质量监督管理委员会行政处罚裁量适用规则》</w:t>
      </w:r>
      <w:r>
        <w:rPr>
          <w:rFonts w:hint="eastAsia" w:ascii="仿宋_GB2312" w:hAnsi="仿宋" w:eastAsia="仿宋_GB2312"/>
          <w:sz w:val="32"/>
          <w:szCs w:val="32"/>
          <w:u w:val="none"/>
          <w:lang w:eastAsia="zh-CN"/>
        </w:rPr>
        <w:t>第十四</w:t>
      </w:r>
      <w:r>
        <w:rPr>
          <w:rFonts w:hint="eastAsia" w:ascii="仿宋_GB2312" w:hAnsi="仿宋_GB2312" w:eastAsia="仿宋_GB2312" w:cs="仿宋_GB2312"/>
          <w:b w:val="0"/>
          <w:bCs w:val="0"/>
          <w:sz w:val="32"/>
          <w:szCs w:val="32"/>
          <w:u w:val="none"/>
          <w:lang w:val="en-US" w:eastAsia="zh-CN"/>
        </w:rPr>
        <w:t>条第二项“当事人有下列情形之一的，可以认定为情节严</w:t>
      </w:r>
      <w:r>
        <w:rPr>
          <w:rFonts w:hint="eastAsia" w:ascii="仿宋_GB2312" w:hAnsi="仿宋" w:eastAsia="仿宋_GB2312"/>
          <w:sz w:val="32"/>
          <w:szCs w:val="32"/>
          <w:u w:val="none"/>
          <w:lang w:val="en-US" w:eastAsia="zh-CN"/>
        </w:rPr>
        <w:t>重，依法从重行政处罚：</w:t>
      </w:r>
      <w:r>
        <w:rPr>
          <w:rFonts w:hint="eastAsia" w:ascii="仿宋_GB2312" w:hAnsi="仿宋" w:eastAsia="仿宋_GB2312"/>
          <w:sz w:val="32"/>
          <w:szCs w:val="32"/>
          <w:u w:val="none"/>
          <w:lang w:val="en-US"/>
        </w:rPr>
        <w:t>（十二）两次以上实施同一违法行为，或者经教育后仍不改正的；</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none"/>
        </w:rPr>
        <w:t>的规定</w:t>
      </w:r>
      <w:r>
        <w:rPr>
          <w:rFonts w:hint="eastAsia" w:ascii="仿宋_GB2312" w:hAnsi="仿宋" w:eastAsia="仿宋_GB2312"/>
          <w:sz w:val="32"/>
          <w:szCs w:val="32"/>
          <w:u w:val="none"/>
          <w:lang w:eastAsia="zh-CN"/>
        </w:rPr>
        <w:t>，应当</w:t>
      </w:r>
      <w:r>
        <w:rPr>
          <w:rFonts w:hint="eastAsia" w:ascii="仿宋_GB2312" w:hAnsi="仿宋" w:eastAsia="仿宋_GB2312"/>
          <w:sz w:val="32"/>
          <w:szCs w:val="32"/>
          <w:u w:val="none"/>
        </w:rPr>
        <w:t>予以</w:t>
      </w:r>
      <w:r>
        <w:rPr>
          <w:rFonts w:hint="eastAsia" w:ascii="仿宋_GB2312" w:hAnsi="仿宋" w:eastAsia="仿宋_GB2312"/>
          <w:sz w:val="32"/>
          <w:szCs w:val="32"/>
          <w:u w:val="none"/>
          <w:lang w:eastAsia="zh-CN"/>
        </w:rPr>
        <w:t>从重</w:t>
      </w:r>
      <w:r>
        <w:rPr>
          <w:rFonts w:hint="eastAsia" w:ascii="仿宋_GB2312" w:hAnsi="仿宋" w:eastAsia="仿宋_GB2312"/>
          <w:sz w:val="32"/>
          <w:szCs w:val="32"/>
          <w:u w:val="none"/>
        </w:rPr>
        <w:t>处罚。</w:t>
      </w:r>
      <w:r>
        <w:rPr>
          <w:rFonts w:hint="eastAsia" w:ascii="仿宋_GB2312" w:eastAsia="仿宋_GB2312" w:cs="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 w:eastAsia="仿宋_GB2312"/>
          <w:sz w:val="32"/>
          <w:szCs w:val="32"/>
          <w:u w:val="none"/>
          <w:lang w:eastAsia="zh-CN"/>
        </w:rPr>
      </w:pPr>
      <w:r>
        <w:rPr>
          <w:rFonts w:hint="eastAsia" w:ascii="仿宋_GB2312" w:hAnsi="仿宋" w:eastAsia="仿宋_GB2312"/>
          <w:sz w:val="32"/>
          <w:szCs w:val="32"/>
          <w:u w:val="none"/>
        </w:rPr>
        <w:t>依据《中华人民共和国食品安全法》第一百二十</w:t>
      </w:r>
      <w:r>
        <w:rPr>
          <w:rFonts w:hint="eastAsia" w:ascii="仿宋_GB2312" w:hAnsi="仿宋" w:eastAsia="仿宋_GB2312"/>
          <w:sz w:val="32"/>
          <w:szCs w:val="32"/>
          <w:u w:val="none"/>
          <w:lang w:eastAsia="zh-CN"/>
        </w:rPr>
        <w:t>五</w:t>
      </w:r>
      <w:r>
        <w:rPr>
          <w:rFonts w:hint="eastAsia" w:ascii="仿宋_GB2312" w:hAnsi="仿宋" w:eastAsia="仿宋_GB2312"/>
          <w:sz w:val="32"/>
          <w:szCs w:val="32"/>
          <w:u w:val="none"/>
        </w:rPr>
        <w:t>条第一款第</w:t>
      </w:r>
      <w:r>
        <w:rPr>
          <w:rFonts w:hint="eastAsia" w:ascii="仿宋_GB2312" w:hAnsi="仿宋" w:eastAsia="仿宋_GB2312"/>
          <w:sz w:val="32"/>
          <w:szCs w:val="32"/>
          <w:u w:val="none"/>
          <w:lang w:eastAsia="zh-CN"/>
        </w:rPr>
        <w:t>二</w:t>
      </w:r>
      <w:r>
        <w:rPr>
          <w:rFonts w:hint="eastAsia" w:ascii="仿宋_GB2312" w:hAnsi="仿宋" w:eastAsia="仿宋_GB2312"/>
          <w:sz w:val="32"/>
          <w:szCs w:val="32"/>
          <w:u w:val="none"/>
        </w:rPr>
        <w:t>项：“</w:t>
      </w:r>
      <w:r>
        <w:rPr>
          <w:rFonts w:hint="eastAsia" w:ascii="仿宋_GB2312" w:hAnsi="仿宋" w:eastAsia="仿宋_GB2312"/>
          <w:sz w:val="32"/>
          <w:szCs w:val="32"/>
          <w:u w:val="none"/>
          <w:lang w:val="en-US"/>
        </w:rPr>
        <w:t>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二）生产经营无标签的预包装食品、食品添加剂或者标签、说明书不符合本法规定的食品、食品添加剂；”的</w:t>
      </w:r>
      <w:r>
        <w:rPr>
          <w:rFonts w:hint="eastAsia" w:ascii="仿宋_GB2312" w:hAnsi="仿宋" w:eastAsia="仿宋_GB2312"/>
          <w:sz w:val="32"/>
          <w:szCs w:val="32"/>
          <w:u w:val="none"/>
        </w:rPr>
        <w:t>规定，对当事人</w:t>
      </w:r>
      <w:r>
        <w:rPr>
          <w:rFonts w:hint="eastAsia" w:ascii="仿宋_GB2312" w:eastAsia="仿宋_GB2312" w:cs="仿宋_GB2312"/>
          <w:bCs/>
          <w:sz w:val="32"/>
          <w:szCs w:val="32"/>
          <w:u w:val="none"/>
        </w:rPr>
        <w:t>给予以下行政处罚：</w:t>
      </w:r>
      <w:r>
        <w:rPr>
          <w:rFonts w:hint="eastAsia" w:ascii="仿宋_GB2312" w:eastAsia="仿宋_GB2312" w:cs="仿宋_GB2312"/>
          <w:bCs/>
          <w:sz w:val="32"/>
          <w:szCs w:val="32"/>
          <w:u w:val="none"/>
          <w:lang w:val="en-US" w:eastAsia="zh-CN"/>
        </w:rPr>
        <w:t>1.没收涉案11袋锅巴；2.没收违法所得</w:t>
      </w:r>
      <w:r>
        <w:rPr>
          <w:rFonts w:hint="default" w:ascii="Times New Roman" w:hAnsi="Times New Roman" w:eastAsia="仿宋" w:cs="Times New Roman"/>
          <w:sz w:val="32"/>
          <w:szCs w:val="32"/>
          <w:u w:val="none"/>
          <w:lang w:val="en-US" w:eastAsia="zh-CN"/>
        </w:rPr>
        <w:t>16.69</w:t>
      </w:r>
      <w:r>
        <w:rPr>
          <w:rFonts w:hint="eastAsia" w:ascii="仿宋" w:hAnsi="仿宋" w:eastAsia="仿宋"/>
          <w:sz w:val="32"/>
          <w:szCs w:val="32"/>
          <w:u w:val="none"/>
          <w:lang w:val="en-US" w:eastAsia="zh-CN"/>
        </w:rPr>
        <w:t>元；3.</w:t>
      </w:r>
      <w:r>
        <w:rPr>
          <w:rFonts w:hint="eastAsia" w:ascii="仿宋_GB2312" w:hAnsi="仿宋" w:eastAsia="仿宋_GB2312"/>
          <w:sz w:val="32"/>
          <w:szCs w:val="32"/>
          <w:u w:val="none"/>
        </w:rPr>
        <w:t>罚款</w:t>
      </w:r>
      <w:r>
        <w:rPr>
          <w:rFonts w:hint="eastAsia" w:ascii="仿宋_GB2312" w:hAnsi="仿宋" w:eastAsia="仿宋_GB2312"/>
          <w:color w:val="000000"/>
          <w:sz w:val="32"/>
          <w:szCs w:val="32"/>
          <w:u w:val="none"/>
          <w:lang w:val="en-US" w:eastAsia="zh-CN"/>
        </w:rPr>
        <w:t>50000</w:t>
      </w:r>
      <w:r>
        <w:rPr>
          <w:rFonts w:hint="eastAsia" w:ascii="仿宋_GB2312" w:hAnsi="仿宋" w:eastAsia="仿宋_GB2312"/>
          <w:sz w:val="32"/>
          <w:szCs w:val="32"/>
          <w:u w:val="none"/>
        </w:rPr>
        <w:t>元</w:t>
      </w:r>
      <w:r>
        <w:rPr>
          <w:rFonts w:hint="eastAsia" w:ascii="仿宋_GB2312" w:hAnsi="仿宋" w:eastAsia="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w:t>
      </w:r>
      <w:r>
        <w:rPr>
          <w:rFonts w:hint="eastAsia" w:ascii="仿宋_GB2312" w:hAnsi="楷体_GB2312" w:eastAsia="仿宋_GB2312" w:cs="楷体_GB2312"/>
          <w:color w:val="000000"/>
          <w:sz w:val="32"/>
          <w:szCs w:val="32"/>
          <w:u w:val="none"/>
          <w:lang w:eastAsia="zh-CN"/>
        </w:rPr>
        <w:t>七十二条第一款</w:t>
      </w:r>
      <w:r>
        <w:rPr>
          <w:rFonts w:hint="eastAsia" w:ascii="仿宋_GB2312" w:hAnsi="楷体_GB2312" w:eastAsia="仿宋_GB2312" w:cs="楷体_GB2312"/>
          <w:color w:val="000000"/>
          <w:sz w:val="32"/>
          <w:szCs w:val="32"/>
          <w:u w:val="none"/>
        </w:rPr>
        <w:t>的规定，每日按罚款数额的百分之三加处罚款，并将依法申请人民法院强制执行。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
          <w:color w:val="000000"/>
          <w:sz w:val="32"/>
          <w:szCs w:val="32"/>
          <w:u w:val="none"/>
          <w:lang w:val="en-US" w:eastAsia="zh-CN"/>
        </w:rPr>
      </w:pPr>
      <w:r>
        <w:rPr>
          <w:rFonts w:hint="eastAsia" w:ascii="仿宋_GB2312" w:eastAsia="仿宋_GB2312" w:cs="仿宋_GB2312"/>
          <w:kern w:val="1"/>
          <w:sz w:val="32"/>
          <w:szCs w:val="32"/>
          <w:u w:val="none"/>
        </w:rPr>
        <w:t xml:space="preserve">如对本行政处罚决定不服，可以于收到本决定书之日起六十日内依法向天津市北辰区人民政府申请行政复议，也可以于六个月内依法向天津市北辰区人民法院提起行政诉讼。                   </w:t>
      </w:r>
      <w:r>
        <w:rPr>
          <w:rFonts w:hint="eastAsia" w:ascii="Times New Roman" w:hAnsi="Times New Roman" w:eastAsia="仿宋_GB2312" w:cs="仿宋"/>
          <w:color w:val="000000"/>
          <w:sz w:val="32"/>
          <w:szCs w:val="32"/>
          <w:u w:val="none"/>
        </w:rPr>
        <w:t xml:space="preserve">               </w:t>
      </w:r>
      <w:r>
        <w:rPr>
          <w:rFonts w:hint="eastAsia" w:ascii="Times New Roman" w:hAnsi="Times New Roman" w:eastAsia="仿宋_GB2312" w:cs="仿宋"/>
          <w:color w:val="000000"/>
          <w:sz w:val="32"/>
          <w:szCs w:val="32"/>
          <w:u w:val="none"/>
          <w:lang w:val="en-US" w:eastAsia="zh-CN"/>
        </w:rPr>
        <w:t xml:space="preserve">             </w:t>
      </w: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color w:val="000000"/>
          <w:sz w:val="32"/>
          <w:szCs w:val="32"/>
          <w:u w:val="none"/>
          <w:lang w:val="en-US" w:eastAsia="zh-CN"/>
        </w:rPr>
      </w:pPr>
      <w:r>
        <w:rPr>
          <w:rFonts w:hint="eastAsia" w:ascii="Times New Roman" w:hAnsi="Times New Roman" w:eastAsia="仿宋_GB2312" w:cs="仿宋"/>
          <w:color w:val="000000"/>
          <w:sz w:val="32"/>
          <w:szCs w:val="32"/>
          <w:u w:val="none"/>
          <w:lang w:val="en-US" w:eastAsia="zh-CN"/>
        </w:rPr>
        <w:t xml:space="preserve">                </w:t>
      </w: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color w:val="000000"/>
          <w:sz w:val="32"/>
          <w:szCs w:val="32"/>
          <w:u w:val="none"/>
          <w:lang w:val="en-US" w:eastAsia="zh-CN"/>
        </w:rPr>
      </w:pP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color w:val="000000"/>
          <w:sz w:val="32"/>
          <w:szCs w:val="32"/>
          <w:u w:val="none"/>
          <w:lang w:val="en-US" w:eastAsia="zh-CN"/>
        </w:rPr>
      </w:pP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lang w:eastAsia="zh-CN"/>
        </w:rPr>
        <w:t>天津市</w:t>
      </w:r>
      <w:r>
        <w:rPr>
          <w:rFonts w:hint="eastAsia" w:ascii="Times New Roman" w:hAnsi="Times New Roman" w:eastAsia="仿宋_GB2312" w:cs="仿宋"/>
          <w:color w:val="000000"/>
          <w:sz w:val="32"/>
          <w:szCs w:val="32"/>
          <w:u w:val="none"/>
        </w:rPr>
        <w:t>北辰区市场监督管理局</w:t>
      </w:r>
    </w:p>
    <w:p>
      <w:pPr>
        <w:keepNext w:val="0"/>
        <w:keepLines w:val="0"/>
        <w:pageBreakBefore w:val="0"/>
        <w:widowControl w:val="0"/>
        <w:kinsoku/>
        <w:overflowPunct/>
        <w:topLinePunct w:val="0"/>
        <w:autoSpaceDE/>
        <w:autoSpaceDN/>
        <w:bidi w:val="0"/>
        <w:adjustRightInd/>
        <w:snapToGrid/>
        <w:spacing w:line="480" w:lineRule="exact"/>
        <w:ind w:right="640" w:firstLine="1920" w:firstLineChars="600"/>
        <w:jc w:val="both"/>
        <w:textAlignment w:val="auto"/>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20</w:t>
      </w:r>
      <w:r>
        <w:rPr>
          <w:rFonts w:hint="eastAsia" w:ascii="Times New Roman" w:hAnsi="Times New Roman" w:eastAsia="仿宋_GB2312" w:cs="仿宋"/>
          <w:color w:val="000000"/>
          <w:sz w:val="32"/>
          <w:szCs w:val="32"/>
          <w:u w:val="none"/>
          <w:lang w:val="en-US" w:eastAsia="zh-CN"/>
        </w:rPr>
        <w:t>22</w:t>
      </w:r>
      <w:r>
        <w:rPr>
          <w:rFonts w:hint="eastAsia" w:ascii="Times New Roman" w:hAnsi="Times New Roman" w:eastAsia="仿宋_GB2312" w:cs="仿宋"/>
          <w:color w:val="000000"/>
          <w:sz w:val="32"/>
          <w:szCs w:val="32"/>
          <w:u w:val="none"/>
        </w:rPr>
        <w:t>年</w:t>
      </w:r>
      <w:r>
        <w:rPr>
          <w:rFonts w:hint="eastAsia" w:ascii="Times New Roman" w:hAnsi="Times New Roman" w:eastAsia="仿宋_GB2312" w:cs="仿宋"/>
          <w:color w:val="000000"/>
          <w:sz w:val="32"/>
          <w:szCs w:val="32"/>
          <w:u w:val="none"/>
          <w:lang w:val="en-US" w:eastAsia="zh-CN"/>
        </w:rPr>
        <w:t>6</w:t>
      </w:r>
      <w:r>
        <w:rPr>
          <w:rFonts w:hint="eastAsia" w:ascii="Times New Roman" w:hAnsi="Times New Roman" w:eastAsia="仿宋_GB2312" w:cs="仿宋"/>
          <w:color w:val="000000"/>
          <w:sz w:val="32"/>
          <w:szCs w:val="32"/>
          <w:u w:val="none"/>
        </w:rPr>
        <w:t>月</w:t>
      </w:r>
      <w:r>
        <w:rPr>
          <w:rFonts w:hint="eastAsia" w:ascii="Times New Roman" w:hAnsi="Times New Roman" w:eastAsia="仿宋_GB2312" w:cs="仿宋"/>
          <w:color w:val="000000"/>
          <w:sz w:val="32"/>
          <w:szCs w:val="32"/>
          <w:u w:val="none"/>
          <w:lang w:val="en-US" w:eastAsia="zh-CN"/>
        </w:rPr>
        <w:t>8</w:t>
      </w:r>
      <w:r>
        <w:rPr>
          <w:rFonts w:hint="eastAsia" w:ascii="Times New Roman" w:hAnsi="Times New Roman" w:eastAsia="仿宋_GB2312" w:cs="仿宋"/>
          <w:color w:val="000000"/>
          <w:sz w:val="32"/>
          <w:szCs w:val="32"/>
          <w:u w:val="none"/>
        </w:rPr>
        <w:t>日</w:t>
      </w:r>
      <w:bookmarkStart w:id="0" w:name="_GoBack"/>
      <w:bookmarkEnd w:id="0"/>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98"/>
    <w:rsid w:val="002C41A4"/>
    <w:rsid w:val="00562944"/>
    <w:rsid w:val="007B5F28"/>
    <w:rsid w:val="009059DF"/>
    <w:rsid w:val="0095241C"/>
    <w:rsid w:val="009550DE"/>
    <w:rsid w:val="00A41198"/>
    <w:rsid w:val="00A729C0"/>
    <w:rsid w:val="00CF10B0"/>
    <w:rsid w:val="00EA3874"/>
    <w:rsid w:val="0FB56839"/>
    <w:rsid w:val="16A20938"/>
    <w:rsid w:val="187D7F30"/>
    <w:rsid w:val="1A523DD2"/>
    <w:rsid w:val="1AB309E6"/>
    <w:rsid w:val="2AB732D7"/>
    <w:rsid w:val="2FE74CDB"/>
    <w:rsid w:val="3405148E"/>
    <w:rsid w:val="4048434F"/>
    <w:rsid w:val="46816F58"/>
    <w:rsid w:val="4B2C50E5"/>
    <w:rsid w:val="4DC23B3D"/>
    <w:rsid w:val="550D4146"/>
    <w:rsid w:val="765C0B4F"/>
    <w:rsid w:val="7BFF8D2C"/>
    <w:rsid w:val="7C0A6A73"/>
    <w:rsid w:val="BDD4BF4E"/>
    <w:rsid w:val="EFDDA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Emphasis"/>
    <w:qFormat/>
    <w:uiPriority w:val="0"/>
    <w:rPr>
      <w:i/>
      <w:i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天津市北辰区市场和质量监督管理局</Company>
  <Pages>3</Pages>
  <Words>313</Words>
  <Characters>1785</Characters>
  <Lines>14</Lines>
  <Paragraphs>4</Paragraphs>
  <TotalTime>3</TotalTime>
  <ScaleCrop>false</ScaleCrop>
  <LinksUpToDate>false</LinksUpToDate>
  <CharactersWithSpaces>2094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2019-05-08T10:49:00Z</dcterms:created>
  <dc:creator>李光磊</dc:creator>
  <cp:lastModifiedBy>greatwall</cp:lastModifiedBy>
  <cp:lastPrinted>2020-07-22T16:58:00Z</cp:lastPrinted>
  <dcterms:modified xsi:type="dcterms:W3CDTF">2022-06-28T16:42:34Z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