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2〕375号</w:t>
      </w:r>
    </w:p>
    <w:p>
      <w:pPr>
        <w:snapToGrid w:val="0"/>
        <w:spacing w:line="54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sz w:val="32"/>
          <w:szCs w:val="32"/>
        </w:rPr>
        <w:t>天津市北辰区心连心餐饮店（甄莉荣）</w:t>
      </w:r>
    </w:p>
    <w:p>
      <w:pPr>
        <w:snapToGrid w:val="0"/>
        <w:spacing w:line="54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4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sz w:val="32"/>
          <w:szCs w:val="32"/>
        </w:rPr>
        <w:t>92120113MA07GNPN0Q</w:t>
      </w:r>
    </w:p>
    <w:p>
      <w:pPr>
        <w:snapToGrid w:val="0"/>
        <w:spacing w:line="540" w:lineRule="exact"/>
        <w:jc w:val="left"/>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z w:val="32"/>
          <w:szCs w:val="32"/>
        </w:rPr>
        <w:t>天津市北辰区青光镇瑞顺市场西区19号</w:t>
      </w:r>
    </w:p>
    <w:p>
      <w:pPr>
        <w:snapToGrid w:val="0"/>
        <w:spacing w:line="54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sz w:val="32"/>
          <w:szCs w:val="32"/>
        </w:rPr>
        <w:t>甄莉荣</w:t>
      </w:r>
    </w:p>
    <w:p>
      <w:pPr>
        <w:snapToGrid w:val="0"/>
        <w:spacing w:line="540" w:lineRule="exact"/>
        <w:jc w:val="left"/>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sz w:val="32"/>
          <w:szCs w:val="32"/>
          <w:lang w:val="en-US" w:eastAsia="zh-CN"/>
        </w:rPr>
        <w:t>/</w:t>
      </w:r>
    </w:p>
    <w:p>
      <w:pPr>
        <w:spacing w:line="54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2022年5月24日，</w:t>
      </w:r>
      <w:r>
        <w:rPr>
          <w:rFonts w:hint="eastAsia" w:ascii="仿宋_GB2312" w:hAnsi="仿宋" w:eastAsia="仿宋_GB2312"/>
          <w:color w:val="000000"/>
          <w:sz w:val="32"/>
          <w:szCs w:val="32"/>
        </w:rPr>
        <w:t>我局接到投诉，消费者在天津市北辰区心连心餐饮店开设的饿了么网店“BinsJoy宾喜炸鸡●韩餐（商业大学店）”花费64.3元购买了一份炸鸡套餐，食用过程中发现鸡翅根上有鸡的羽毛，能提供照片和外卖小票。</w:t>
      </w:r>
      <w:r>
        <w:rPr>
          <w:rFonts w:hint="eastAsia" w:ascii="仿宋_GB2312" w:hAnsi="仿宋" w:eastAsia="仿宋_GB2312"/>
          <w:sz w:val="32"/>
          <w:szCs w:val="32"/>
        </w:rPr>
        <w:t>当事人涉嫌</w:t>
      </w:r>
      <w:r>
        <w:rPr>
          <w:rFonts w:hint="eastAsia" w:ascii="仿宋_GB2312" w:eastAsia="仿宋_GB2312" w:cs="仿宋_GB2312"/>
          <w:bCs/>
          <w:sz w:val="32"/>
          <w:szCs w:val="32"/>
        </w:rPr>
        <w:t>经营混有异物</w:t>
      </w:r>
      <w:r>
        <w:rPr>
          <w:rFonts w:hint="eastAsia" w:ascii="仿宋_GB2312" w:hAnsi="仿宋" w:eastAsia="仿宋_GB2312"/>
          <w:sz w:val="32"/>
          <w:szCs w:val="32"/>
        </w:rPr>
        <w:t>的食品,2022年5月25日，执法人员报经局领导批准，予以立案调查。执法人员采取现场检查、询问相关人员等方式进行了调查。</w:t>
      </w:r>
    </w:p>
    <w:p>
      <w:pPr>
        <w:spacing w:line="540" w:lineRule="exact"/>
        <w:ind w:firstLine="640" w:firstLineChars="200"/>
        <w:jc w:val="left"/>
        <w:rPr>
          <w:rFonts w:hint="eastAsia"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hAnsi="仿宋" w:eastAsia="仿宋_GB2312"/>
          <w:color w:val="000000"/>
          <w:sz w:val="32"/>
          <w:szCs w:val="32"/>
        </w:rPr>
        <w:t>当事人于2021年11月23日取得营业执照，2021年12月06日取得食品经营许可证从事餐饮服务，在饿了么平台开设“BinsJoy宾喜炸鸡●韩餐（商业大学店）”的网店。2022年5月24日，当事人因操作不规范，将混有鸡的羽毛的鸡翅根炸制后通过饿了么平台销售给消费者，消费者花费64.3元。</w:t>
      </w:r>
      <w:r>
        <w:rPr>
          <w:rFonts w:hint="eastAsia" w:ascii="仿宋_GB2312" w:eastAsia="仿宋_GB2312"/>
          <w:color w:val="000000"/>
          <w:sz w:val="32"/>
          <w:szCs w:val="32"/>
        </w:rPr>
        <w:t>上述行为满足</w:t>
      </w:r>
      <w:r>
        <w:rPr>
          <w:rFonts w:hint="eastAsia" w:ascii="仿宋_GB2312" w:eastAsia="仿宋_GB2312" w:cs="仿宋_GB2312"/>
          <w:bCs/>
          <w:sz w:val="32"/>
          <w:szCs w:val="32"/>
        </w:rPr>
        <w:t>经营混有异物的食品</w:t>
      </w:r>
      <w:r>
        <w:rPr>
          <w:rFonts w:hint="eastAsia" w:ascii="仿宋_GB2312" w:eastAsia="仿宋_GB2312"/>
          <w:color w:val="000000"/>
          <w:sz w:val="32"/>
          <w:szCs w:val="32"/>
        </w:rPr>
        <w:t>的构成要件，货值金额64.3元，违法所得无法计算。</w:t>
      </w:r>
    </w:p>
    <w:p>
      <w:pPr>
        <w:spacing w:line="540" w:lineRule="exact"/>
        <w:ind w:firstLine="640" w:firstLineChars="200"/>
        <w:jc w:val="left"/>
        <w:rPr>
          <w:rFonts w:ascii="仿宋_GB2312"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1.当事人的营业执照复印件、食品经营许可证复印件、经营者甄莉荣的身份证复印件；2.现场笔录、现场照片；3.消费者提供的材料、对甄莉荣的询问笔录。</w:t>
      </w:r>
    </w:p>
    <w:p>
      <w:pPr>
        <w:spacing w:line="540" w:lineRule="exact"/>
        <w:ind w:firstLine="640" w:firstLineChars="200"/>
        <w:jc w:val="left"/>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2年7月21日依法向当事人送达了《行政处罚告知书》（津辰市监罚告〔20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2〕375号），当事人未提出陈述申辩意见。</w:t>
      </w:r>
    </w:p>
    <w:p>
      <w:pPr>
        <w:snapToGrid w:val="0"/>
        <w:spacing w:line="540" w:lineRule="exact"/>
        <w:ind w:firstLine="640" w:firstLineChars="200"/>
        <w:rPr>
          <w:rFonts w:ascii="仿宋_GB2312"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六项“禁止生产经营下列食品、食品添加剂、食品相关产品：（六）腐败变质、油脂酸败、霉变生虫、污秽不洁、混有异物、掺假掺杂或者感官性状异常的食品、食品添加剂；”的规定，依据《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的规定</w:t>
      </w:r>
      <w:r>
        <w:rPr>
          <w:rFonts w:hint="eastAsia" w:ascii="仿宋_GB2312" w:eastAsia="仿宋_GB2312"/>
          <w:sz w:val="32"/>
          <w:szCs w:val="32"/>
        </w:rPr>
        <w:t>，</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40" w:lineRule="exact"/>
        <w:ind w:firstLine="640" w:firstLineChars="200"/>
        <w:rPr>
          <w:rFonts w:ascii="仿宋_GB2312" w:hAnsi="仿宋" w:eastAsia="仿宋_GB2312"/>
          <w:sz w:val="32"/>
          <w:szCs w:val="32"/>
        </w:rPr>
      </w:pPr>
      <w:r>
        <w:rPr>
          <w:rFonts w:hint="eastAsia" w:ascii="仿宋_GB2312" w:hAnsi="宋体" w:eastAsia="仿宋_GB2312" w:cs="宋体"/>
          <w:color w:val="212121"/>
          <w:kern w:val="0"/>
          <w:sz w:val="32"/>
          <w:szCs w:val="32"/>
        </w:rPr>
        <w:t>鉴于当事人属初次违法，</w:t>
      </w:r>
      <w:r>
        <w:rPr>
          <w:rFonts w:hint="eastAsia" w:ascii="仿宋_GB2312" w:hAnsi="仿宋" w:eastAsia="仿宋_GB2312"/>
          <w:color w:val="000000"/>
          <w:sz w:val="32"/>
          <w:szCs w:val="32"/>
        </w:rPr>
        <w:t>且</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，应依据《中华人民共和国行政处罚法》第三十二条第五项</w:t>
      </w:r>
      <w:r>
        <w:rPr>
          <w:rFonts w:hint="eastAsia" w:ascii="仿宋_GB2312" w:eastAsia="仿宋_GB2312" w:cs="仿宋_GB2312"/>
          <w:bCs/>
          <w:sz w:val="32"/>
          <w:szCs w:val="32"/>
        </w:rPr>
        <w:t>的规定予以减轻处罚。</w:t>
      </w:r>
    </w:p>
    <w:p>
      <w:pPr>
        <w:snapToGrid w:val="0"/>
        <w:spacing w:line="54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hAnsi="仿宋" w:eastAsia="仿宋_GB2312"/>
          <w:sz w:val="32"/>
          <w:szCs w:val="32"/>
        </w:rPr>
        <w:t>《中华人民共和国食品安全法》第三十四条第六项</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《中华人民共和国食品安全法》第一百二十四条第一款第四项</w:t>
      </w:r>
      <w:r>
        <w:rPr>
          <w:rFonts w:hint="eastAsia" w:ascii="仿宋_GB2312" w:eastAsia="仿宋_GB2312"/>
          <w:bCs/>
          <w:sz w:val="32"/>
          <w:szCs w:val="32"/>
        </w:rPr>
        <w:t>的</w:t>
      </w:r>
      <w:r>
        <w:rPr>
          <w:rFonts w:ascii="仿宋_GB2312" w:eastAsia="仿宋_GB2312"/>
          <w:bCs/>
          <w:sz w:val="32"/>
          <w:szCs w:val="32"/>
        </w:rPr>
        <w:t>规定，</w:t>
      </w:r>
      <w:r>
        <w:rPr>
          <w:rFonts w:hint="eastAsia" w:ascii="Times New Roman" w:hAnsi="Times New Roman" w:eastAsia="仿宋_GB2312" w:cs="Mongolian Baiti"/>
          <w:sz w:val="32"/>
          <w:szCs w:val="32"/>
        </w:rPr>
        <w:t>现责令当事人停止</w:t>
      </w:r>
      <w:r>
        <w:rPr>
          <w:rFonts w:hint="eastAsia" w:ascii="仿宋_GB2312" w:eastAsia="仿宋_GB2312" w:cs="仿宋_GB2312"/>
          <w:bCs/>
          <w:sz w:val="32"/>
          <w:szCs w:val="32"/>
        </w:rPr>
        <w:t>经营混有异物的食品</w:t>
      </w:r>
      <w:r>
        <w:rPr>
          <w:rFonts w:hint="eastAsia" w:ascii="仿宋_GB2312" w:eastAsia="仿宋_GB2312"/>
          <w:color w:val="000000"/>
          <w:sz w:val="32"/>
          <w:szCs w:val="32"/>
        </w:rPr>
        <w:t>的</w:t>
      </w:r>
      <w:r>
        <w:rPr>
          <w:rFonts w:ascii="仿宋_GB2312" w:eastAsia="仿宋_GB2312"/>
          <w:color w:val="000000"/>
          <w:sz w:val="32"/>
          <w:szCs w:val="32"/>
        </w:rPr>
        <w:t>行为</w:t>
      </w:r>
      <w:r>
        <w:rPr>
          <w:rFonts w:hint="eastAsia" w:ascii="Times New Roman" w:hAnsi="Times New Roman" w:eastAsia="仿宋_GB2312" w:cs="Mongolian Baiti"/>
          <w:sz w:val="32"/>
          <w:szCs w:val="32"/>
        </w:rPr>
        <w:t>，并</w:t>
      </w:r>
      <w:r>
        <w:rPr>
          <w:rFonts w:ascii="仿宋_GB2312" w:eastAsia="仿宋_GB2312"/>
          <w:bCs/>
          <w:sz w:val="32"/>
          <w:szCs w:val="32"/>
        </w:rPr>
        <w:t>决定处罚如下：</w:t>
      </w:r>
      <w:r>
        <w:rPr>
          <w:rFonts w:hint="eastAsia" w:ascii="仿宋_GB2312" w:hAnsi="仿宋" w:eastAsia="仿宋_GB2312"/>
          <w:sz w:val="32"/>
          <w:szCs w:val="32"/>
        </w:rPr>
        <w:t>罚款1000元。</w:t>
      </w:r>
    </w:p>
    <w:p>
      <w:pPr>
        <w:snapToGrid w:val="0"/>
        <w:spacing w:line="54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40" w:lineRule="exact"/>
        <w:ind w:firstLine="640" w:firstLineChars="200"/>
        <w:jc w:val="left"/>
        <w:rPr>
          <w:rFonts w:ascii="Times New Roman" w:hAnsi="Times New Roman" w:eastAsia="仿宋_GB2312" w:cs="仿宋"/>
          <w:color w:val="000000"/>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年7月29日</w:t>
      </w:r>
    </w:p>
    <w:p>
      <w:pPr>
        <w:snapToGrid w:val="0"/>
        <w:spacing w:line="400" w:lineRule="exact"/>
        <w:rPr>
          <w:rFonts w:ascii="黑体" w:hAnsi="黑体" w:eastAsia="黑体" w:cs="黑体"/>
          <w:color w:val="000000"/>
          <w:sz w:val="30"/>
          <w:szCs w:val="30"/>
        </w:rPr>
      </w:pPr>
    </w:p>
    <w:p>
      <w:pPr>
        <w:snapToGrid w:val="0"/>
        <w:spacing w:line="400" w:lineRule="exact"/>
        <w:rPr>
          <w:rFonts w:ascii="黑体" w:hAnsi="黑体" w:eastAsia="黑体" w:cs="黑体"/>
          <w:color w:val="000000"/>
          <w:sz w:val="30"/>
          <w:szCs w:val="30"/>
        </w:rPr>
      </w:pPr>
    </w:p>
    <w:p>
      <w:pPr>
        <w:spacing w:line="52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45AA7"/>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236FF"/>
    <w:rsid w:val="00450382"/>
    <w:rsid w:val="004B09E2"/>
    <w:rsid w:val="004B1E0A"/>
    <w:rsid w:val="004B1EF9"/>
    <w:rsid w:val="004D19B9"/>
    <w:rsid w:val="004F7283"/>
    <w:rsid w:val="00521F53"/>
    <w:rsid w:val="00523B7A"/>
    <w:rsid w:val="00586CCA"/>
    <w:rsid w:val="005C27F7"/>
    <w:rsid w:val="00626739"/>
    <w:rsid w:val="00676C8A"/>
    <w:rsid w:val="006958BA"/>
    <w:rsid w:val="006E572E"/>
    <w:rsid w:val="006F10D0"/>
    <w:rsid w:val="007010B3"/>
    <w:rsid w:val="007637AB"/>
    <w:rsid w:val="007A0DBB"/>
    <w:rsid w:val="007A1B5A"/>
    <w:rsid w:val="007B1827"/>
    <w:rsid w:val="007D4379"/>
    <w:rsid w:val="007E44E6"/>
    <w:rsid w:val="00803295"/>
    <w:rsid w:val="008663BE"/>
    <w:rsid w:val="008C6FC3"/>
    <w:rsid w:val="008F37CC"/>
    <w:rsid w:val="008F7844"/>
    <w:rsid w:val="009324FF"/>
    <w:rsid w:val="009476ED"/>
    <w:rsid w:val="00972876"/>
    <w:rsid w:val="00976F1E"/>
    <w:rsid w:val="0098174B"/>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80309"/>
    <w:rsid w:val="00B85D45"/>
    <w:rsid w:val="00B8791B"/>
    <w:rsid w:val="00BC11A5"/>
    <w:rsid w:val="00BC1B0E"/>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DFD3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256</Words>
  <Characters>1464</Characters>
  <Lines>12</Lines>
  <Paragraphs>3</Paragraphs>
  <TotalTime>2078</TotalTime>
  <ScaleCrop>false</ScaleCrop>
  <LinksUpToDate>false</LinksUpToDate>
  <CharactersWithSpaces>1717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2022-08-03T09:58:53Z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