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w:pict>
          <v:shape id="_x0000_s1026" o:spid="_x0000_s1026" o:spt="32" type="#_x0000_t32" style="position:absolute;left:0pt;margin-left:2pt;margin-top:1638pt;height:0.1pt;width:453.7pt;z-index:102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14o&#10;mtoAAAALAQAADwAAAAAAAAABACAAAAAiAAAAZHJzL2Rvd25yZXYueG1sUEsBAhQAFAAAAAgAh07i&#10;QFeaYEjnAQAAogMAAA4AAAAAAAAAAQAgAAAAKQEAAGRycy9lMm9Eb2MueG1sUEsFBgAAAAAGAAYA&#10;WQEAAIIFAAAAAA==&#10;">
            <v:path arrowok="t"/>
            <v:fill on="f" focussize="0,0"/>
            <v:stroke weight="1.5pt" endcap="square"/>
            <v:imagedata o:title=""/>
            <o:lock v:ext="edit"/>
          </v:shape>
        </w:pic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471</w:t>
      </w:r>
      <w:r>
        <w:rPr>
          <w:rFonts w:hint="eastAsia" w:ascii="Times New Roman" w:hAnsi="Times New Roman" w:eastAsia="仿宋_GB2312" w:cs="仿宋"/>
          <w:color w:val="000000"/>
          <w:sz w:val="32"/>
          <w:szCs w:val="32"/>
          <w:u w:val="none"/>
        </w:rPr>
        <w:t>号</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：天津市东丽区郭义食品配送中心（郭义）</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ascii="Times New Roman" w:hAnsi="Times New Roman" w:eastAsia="仿宋_GB2312" w:cs="Mongolian Baiti"/>
          <w:kern w:val="1"/>
          <w:sz w:val="32"/>
          <w:szCs w:val="32"/>
          <w:u w:val="none"/>
        </w:rPr>
        <w:t>92120110MA05RCNE2X</w:t>
      </w:r>
    </w:p>
    <w:p>
      <w:pPr>
        <w:spacing w:line="48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经营场所：天津市北辰区普东街道汾河南道5号</w:t>
      </w:r>
      <w:r>
        <w:rPr>
          <w:rFonts w:ascii="仿宋_GB2312" w:eastAsia="仿宋_GB2312"/>
          <w:sz w:val="32"/>
          <w:szCs w:val="32"/>
          <w:u w:val="none"/>
        </w:rPr>
        <w:t xml:space="preserve">             </w:t>
      </w:r>
    </w:p>
    <w:p>
      <w:pPr>
        <w:spacing w:line="48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经营者：郭义</w:t>
      </w:r>
      <w:r>
        <w:rPr>
          <w:rFonts w:ascii="仿宋_GB2312"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480" w:lineRule="exact"/>
        <w:ind w:firstLine="640" w:firstLineChars="200"/>
        <w:rPr>
          <w:rFonts w:ascii="仿宋_GB2312" w:hAnsi="仿宋" w:eastAsia="仿宋_GB2312" w:cs="宋体"/>
          <w:color w:val="000000"/>
          <w:kern w:val="0"/>
          <w:sz w:val="32"/>
          <w:szCs w:val="32"/>
          <w:u w:val="none"/>
        </w:rPr>
      </w:pPr>
      <w:r>
        <w:rPr>
          <w:rFonts w:hint="eastAsia" w:ascii="仿宋_GB2312" w:hAnsi="仿宋" w:eastAsia="仿宋_GB2312" w:cs="宋体"/>
          <w:color w:val="000000"/>
          <w:kern w:val="0"/>
          <w:sz w:val="32"/>
          <w:szCs w:val="32"/>
          <w:u w:val="none"/>
        </w:rPr>
        <w:t>2022年6月21日，我局执法人员接到投诉称在天津市东丽区郭义食品配送中心（郭义）开设的拼多多网店上购买了一份藕粉，该商品在主页标题写有止血散淤字样，涉嫌在宣传过程中使用了涉及疾病治疗的医疗用语，望核查处置。2022年6月26日，我局执法人员根据投诉线索对天津市北辰区普东街道汾河南道5号天津市东丽区郭义食品配送中心（郭义）进行现场检查，当事人通过拼多多网店“艺博雅食品店”发布了名为“批发225g天津特产芙蓉藕粉30年品牌原味木糖醇桂花藕粉营养食品”的商品，在图文详情中提到“情热凉血开胃键食，润肠通便止血散淤”，以及“藕粉可以健脾和胃，不但能吸收丰富的营养，还能健脾和胃，提高脾胃功能。能促进唾液和消化液分泌，增加食欲。对于人们的脾胃不消化，功能不全，胃胀腹胀，胃炎都有一定的调理作用。藕粉还可以通便止泻，能够促进胃肠蠕动，预防便秘，也能缓解腹泻。藕粉中含有大量的单宁酸，能够收缩血管，起到止血效果。”涉嫌存在除医疗、药品、医疗器械广告外，发布涉及疾病治疗功能的广告的行为。涉嫌存在除医疗、药品、医疗器械广告外，发布涉及疾病治疗功能的广告的行为。2021年6月30日，执法人员报经分管局长批准，予以立案调查。此案于2022年7月12日调查终结。</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hAnsi="仿宋" w:eastAsia="仿宋_GB2312"/>
          <w:color w:val="000000"/>
          <w:sz w:val="32"/>
          <w:szCs w:val="32"/>
          <w:u w:val="none"/>
        </w:rPr>
        <w:t>当事人取得营业执照从事食品互联网销售，2022年5月23日在“批发225g天津特产芙蓉藕粉30年品牌原味木糖醇桂花藕粉营养食品”的商品详情中发布了 “情热凉血开胃键食，润肠通便止血散淤”以及“藕粉可以健脾和胃，不但能吸收丰富的营养，还能健脾和胃，提高脾胃功能。能促进唾液和消化液分泌，增加食欲。对于人们的脾胃不消化，功能不全，胃胀腹胀，胃炎都有一定的调理作用。藕粉还可以通便止泻，能够促进胃肠蠕动，预防便秘，也能缓解腹泻。藕粉中含有大量的单宁酸，能够收缩血管，起到止血效果。”的广告用语，上述广告用语系当事人自行从网络搜索制作并发布，广告费用无法计算。上述当事人的行为满足除医疗、药品、医疗器械广告外，发布涉及疾病治疗功能的广告的构成要件。</w:t>
      </w:r>
      <w:r>
        <w:rPr>
          <w:rFonts w:hint="eastAsia" w:ascii="Times New Roman" w:hAnsi="Times New Roman" w:eastAsia="仿宋_GB2312" w:cs="仿宋"/>
          <w:color w:val="000000"/>
          <w:sz w:val="32"/>
          <w:szCs w:val="32"/>
          <w:u w:val="none"/>
        </w:rPr>
        <w:t>上述事实，主要有以下证据证明：1.当事人的营业执照、经营者郭义身份证复印件；2. 2022年6月26日现场笔录、现场照片、网店商品图文详情截图、网店后台修改记录截图；3.对郭义的询问调查笔录；4.整改后网店截图。</w:t>
      </w:r>
    </w:p>
    <w:p>
      <w:pPr>
        <w:spacing w:line="48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年</w:t>
      </w:r>
      <w:r>
        <w:rPr>
          <w:rFonts w:ascii="Times New Roman" w:hAnsi="Times New Roman" w:eastAsia="仿宋_GB2312" w:cs="仿宋"/>
          <w:bCs/>
          <w:color w:val="000000"/>
          <w:sz w:val="32"/>
          <w:szCs w:val="32"/>
          <w:u w:val="none"/>
        </w:rPr>
        <w:t>8</w:t>
      </w:r>
      <w:r>
        <w:rPr>
          <w:rFonts w:hint="eastAsia" w:ascii="Times New Roman" w:hAnsi="Times New Roman" w:eastAsia="仿宋_GB2312" w:cs="仿宋"/>
          <w:bCs/>
          <w:color w:val="000000"/>
          <w:sz w:val="32"/>
          <w:szCs w:val="32"/>
          <w:u w:val="none"/>
        </w:rPr>
        <w:t>月</w:t>
      </w:r>
      <w:r>
        <w:rPr>
          <w:rFonts w:ascii="Times New Roman" w:hAnsi="Times New Roman" w:eastAsia="仿宋_GB2312" w:cs="仿宋"/>
          <w:bCs/>
          <w:color w:val="000000"/>
          <w:sz w:val="32"/>
          <w:szCs w:val="32"/>
          <w:u w:val="none"/>
        </w:rPr>
        <w:t>3</w:t>
      </w:r>
      <w:r>
        <w:rPr>
          <w:rFonts w:hint="eastAsia" w:ascii="Times New Roman" w:hAnsi="Times New Roman" w:eastAsia="仿宋_GB2312" w:cs="仿宋"/>
          <w:bCs/>
          <w:color w:val="000000"/>
          <w:sz w:val="32"/>
          <w:szCs w:val="32"/>
          <w:u w:val="none"/>
        </w:rPr>
        <w:t>日依法向当事人送达了《行政处罚告知书》（津辰市监罚告〔</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w:t>
      </w:r>
      <w:r>
        <w:rPr>
          <w:rFonts w:ascii="Times New Roman" w:hAnsi="Times New Roman" w:eastAsia="仿宋_GB2312" w:cs="仿宋"/>
          <w:bCs/>
          <w:color w:val="000000"/>
          <w:sz w:val="32"/>
          <w:szCs w:val="32"/>
          <w:u w:val="none"/>
        </w:rPr>
        <w:t>471</w:t>
      </w:r>
      <w:r>
        <w:rPr>
          <w:rFonts w:hint="eastAsia" w:ascii="Times New Roman" w:hAnsi="Times New Roman" w:eastAsia="仿宋_GB2312" w:cs="仿宋"/>
          <w:bCs/>
          <w:color w:val="000000"/>
          <w:sz w:val="32"/>
          <w:szCs w:val="32"/>
          <w:u w:val="none"/>
        </w:rPr>
        <w:t>号），当事人未提出陈述申辩意见。</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 xml:space="preserve">本局认为，当事人的行为违反了《中华人民共和国广告法》第十七条：“除医疗、药品、医疗器械广告外，禁止其他任何广告涉及疾病治疗功能，并不得使用医疗用语或者易使推销的商品与药品、医疗器械相混淆的用语。”的规定。当事人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因此予以减轻处罚。  </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依据《中华人民共和国广告法》第五十八条第二项：“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 ……（二）违反本法第十七条规定，在广告中涉及疾病治疗功能，以及使用医疗用语或者易使推销的商品与药品、医疗器械相混淆的用语的；……”的规定，责令当事人立即改正违法行为，并对当事人给予以下行政处罚：1.罚款2000元。</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8</w:t>
      </w:r>
      <w:r>
        <w:rPr>
          <w:rFonts w:hint="eastAsia" w:ascii="Times New Roman" w:hAnsi="Times New Roman" w:eastAsia="仿宋_GB2312" w:cs="仿宋"/>
          <w:color w:val="000000"/>
          <w:sz w:val="32"/>
          <w:szCs w:val="32"/>
          <w:u w:val="none"/>
        </w:rPr>
        <w:t>月1</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日</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198"/>
    <w:rsid w:val="000F53B6"/>
    <w:rsid w:val="001051A1"/>
    <w:rsid w:val="0014389C"/>
    <w:rsid w:val="00146018"/>
    <w:rsid w:val="00147084"/>
    <w:rsid w:val="001A180C"/>
    <w:rsid w:val="001B5319"/>
    <w:rsid w:val="00233695"/>
    <w:rsid w:val="00270884"/>
    <w:rsid w:val="002A03F8"/>
    <w:rsid w:val="002C41A4"/>
    <w:rsid w:val="002C7D72"/>
    <w:rsid w:val="002F2FC4"/>
    <w:rsid w:val="002F5E37"/>
    <w:rsid w:val="003050EB"/>
    <w:rsid w:val="00306EE2"/>
    <w:rsid w:val="00311080"/>
    <w:rsid w:val="00363089"/>
    <w:rsid w:val="0036717F"/>
    <w:rsid w:val="00380C7E"/>
    <w:rsid w:val="0038449B"/>
    <w:rsid w:val="00391B0A"/>
    <w:rsid w:val="00455AFF"/>
    <w:rsid w:val="00460F33"/>
    <w:rsid w:val="00483276"/>
    <w:rsid w:val="00492ACB"/>
    <w:rsid w:val="004A5AC3"/>
    <w:rsid w:val="004F2955"/>
    <w:rsid w:val="005046CC"/>
    <w:rsid w:val="00543151"/>
    <w:rsid w:val="00562944"/>
    <w:rsid w:val="00587305"/>
    <w:rsid w:val="00597DE1"/>
    <w:rsid w:val="005B15A7"/>
    <w:rsid w:val="005D7422"/>
    <w:rsid w:val="005E53CA"/>
    <w:rsid w:val="005F2BF7"/>
    <w:rsid w:val="00616B16"/>
    <w:rsid w:val="006640B1"/>
    <w:rsid w:val="0068712C"/>
    <w:rsid w:val="00695245"/>
    <w:rsid w:val="006C58E2"/>
    <w:rsid w:val="00710E68"/>
    <w:rsid w:val="00742483"/>
    <w:rsid w:val="00752C62"/>
    <w:rsid w:val="00783B22"/>
    <w:rsid w:val="00792270"/>
    <w:rsid w:val="007A6724"/>
    <w:rsid w:val="007B5F28"/>
    <w:rsid w:val="007E66A8"/>
    <w:rsid w:val="008731DD"/>
    <w:rsid w:val="00885EED"/>
    <w:rsid w:val="009059DF"/>
    <w:rsid w:val="0091246C"/>
    <w:rsid w:val="0092740C"/>
    <w:rsid w:val="0095241C"/>
    <w:rsid w:val="009550DE"/>
    <w:rsid w:val="009F2F00"/>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E6579"/>
    <w:rsid w:val="00BF54D8"/>
    <w:rsid w:val="00C32623"/>
    <w:rsid w:val="00C4067B"/>
    <w:rsid w:val="00C476B2"/>
    <w:rsid w:val="00C75723"/>
    <w:rsid w:val="00C87CCA"/>
    <w:rsid w:val="00C927DD"/>
    <w:rsid w:val="00CD27EB"/>
    <w:rsid w:val="00CF10B0"/>
    <w:rsid w:val="00CF57FE"/>
    <w:rsid w:val="00D62B02"/>
    <w:rsid w:val="00D71FC1"/>
    <w:rsid w:val="00DA30A2"/>
    <w:rsid w:val="00E06226"/>
    <w:rsid w:val="00E156F7"/>
    <w:rsid w:val="00E557A7"/>
    <w:rsid w:val="00E74D12"/>
    <w:rsid w:val="00EA3874"/>
    <w:rsid w:val="00EB65A9"/>
    <w:rsid w:val="00EC285C"/>
    <w:rsid w:val="00EE3FFF"/>
    <w:rsid w:val="00EF34F3"/>
    <w:rsid w:val="00EF68B8"/>
    <w:rsid w:val="00F36FA0"/>
    <w:rsid w:val="00F370B8"/>
    <w:rsid w:val="00F56CD6"/>
    <w:rsid w:val="00F7361E"/>
    <w:rsid w:val="00F75002"/>
    <w:rsid w:val="00F76B87"/>
    <w:rsid w:val="00FE1B1F"/>
    <w:rsid w:val="00FF33C4"/>
    <w:rsid w:val="019A4356"/>
    <w:rsid w:val="0A532AC6"/>
    <w:rsid w:val="1A523DD2"/>
    <w:rsid w:val="1AB309E6"/>
    <w:rsid w:val="2AB732D7"/>
    <w:rsid w:val="2FE74CDB"/>
    <w:rsid w:val="3405148E"/>
    <w:rsid w:val="3D7872D5"/>
    <w:rsid w:val="46816F58"/>
    <w:rsid w:val="4A5B3E25"/>
    <w:rsid w:val="4DC23B3D"/>
    <w:rsid w:val="550D4146"/>
    <w:rsid w:val="6D631076"/>
    <w:rsid w:val="765C0B4F"/>
    <w:rsid w:val="7C0A6A73"/>
    <w:rsid w:val="FB7D56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1</Pages>
  <Words>330</Words>
  <Characters>1882</Characters>
  <Lines>15</Lines>
  <Paragraphs>4</Paragraphs>
  <TotalTime>59</TotalTime>
  <ScaleCrop>false</ScaleCrop>
  <LinksUpToDate>false</LinksUpToDate>
  <CharactersWithSpaces>2208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2021-09-06T17:06:00Z</dcterms:created>
  <dc:creator>李光磊</dc:creator>
  <cp:lastModifiedBy>greatwall</cp:lastModifiedBy>
  <cp:lastPrinted>2022-08-29T16:56:00Z</cp:lastPrinted>
  <dcterms:modified xsi:type="dcterms:W3CDTF">2022-09-20T15:16:54Z</dcterms:modified>
  <dc:title>天津市北辰区市场监督管理局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