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w:pict>
          <v:shape id="_x0000_s1026" o:spid="_x0000_s1026" o:spt="32" type="#_x0000_t32" style="position:absolute;left:0pt;margin-left:2pt;margin-top:1638pt;height:0.1pt;width:453.7pt;z-index:102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14o&#10;mtoAAAALAQAADwAAAAAAAAABACAAAAAiAAAAZHJzL2Rvd25yZXYueG1sUEsBAhQAFAAAAAgAh07i&#10;QFeaYEjnAQAAogMAAA4AAAAAAAAAAQAgAAAAKQEAAGRycy9lMm9Eb2MueG1sUEsFBgAAAAAGAAYA&#10;WQEAAIIFAAAAAA==&#10;">
            <v:path arrowok="t"/>
            <v:fill on="f" focussize="0,0"/>
            <v:stroke weight="1.5pt" endcap="square"/>
            <v:imagedata o:title=""/>
            <o:lock v:ext="edit"/>
          </v:shape>
        </w:pic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510</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：天津安捷医院有限公司</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w:t>
      </w:r>
      <w:r>
        <w:rPr>
          <w:rFonts w:ascii="Times New Roman" w:hAnsi="Times New Roman" w:eastAsia="仿宋_GB2312" w:cs="Mongolian Baiti"/>
          <w:kern w:val="1"/>
          <w:sz w:val="32"/>
          <w:szCs w:val="32"/>
          <w:u w:val="none"/>
        </w:rPr>
        <w:t>信用代码</w:t>
      </w:r>
      <w:r>
        <w:rPr>
          <w:rFonts w:hint="eastAsia" w:ascii="Times New Roman" w:hAnsi="Times New Roman" w:eastAsia="仿宋_GB2312" w:cs="Mongolian Baiti"/>
          <w:kern w:val="1"/>
          <w:sz w:val="32"/>
          <w:szCs w:val="32"/>
          <w:u w:val="none"/>
        </w:rPr>
        <w:t>：</w:t>
      </w:r>
      <w:r>
        <w:rPr>
          <w:rFonts w:ascii="Times New Roman" w:hAnsi="Times New Roman" w:eastAsia="仿宋_GB2312" w:cs="Mongolian Baiti"/>
          <w:kern w:val="1"/>
          <w:sz w:val="32"/>
          <w:szCs w:val="32"/>
          <w:u w:val="none"/>
        </w:rPr>
        <w:t>911201137522000213</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 天津北辰科技园区辽河北路</w:t>
      </w:r>
      <w:r>
        <w:rPr>
          <w:rFonts w:ascii="仿宋_GB2312" w:eastAsia="仿宋_GB2312"/>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法定代表人：王雪</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80" w:lineRule="exact"/>
        <w:ind w:firstLine="640" w:firstLineChars="200"/>
        <w:rPr>
          <w:rFonts w:ascii="仿宋_GB2312" w:hAnsi="仿宋" w:eastAsia="仿宋_GB2312"/>
          <w:sz w:val="32"/>
          <w:szCs w:val="32"/>
          <w:u w:val="none"/>
        </w:rPr>
      </w:pPr>
      <w:r>
        <w:rPr>
          <w:rFonts w:hint="eastAsia" w:ascii="仿宋_GB2312" w:hAnsi="仿宋" w:eastAsia="仿宋_GB2312" w:cs="宋体"/>
          <w:color w:val="000000"/>
          <w:kern w:val="0"/>
          <w:sz w:val="32"/>
          <w:szCs w:val="32"/>
          <w:u w:val="none"/>
        </w:rPr>
        <w:t>2022年7月1日我局执法人员对天津北辰科技园区辽河北路天津安捷医院有限公司进行监督检查时发现，当事人正在使用的两台“yuwell鱼跃”血压计（器号27291977、29449528）未张贴检定合格证，一台yuwell鱼跃”血压计（器号33188120）张贴的检定合格证有效期为2022年1月，已过期，责令当事人停止使用上述血压计。当日执法人员报经局领导批准，予以立案调查。此案于2022年7月14日调查终结。</w:t>
      </w:r>
      <w:r>
        <w:rPr>
          <w:rFonts w:ascii="仿宋_GB2312" w:hAnsi="仿宋" w:eastAsia="仿宋_GB2312"/>
          <w:sz w:val="32"/>
          <w:szCs w:val="32"/>
          <w:u w:val="none"/>
        </w:rPr>
        <w:t xml:space="preserve">                             </w:t>
      </w:r>
    </w:p>
    <w:p>
      <w:pPr>
        <w:spacing w:line="480" w:lineRule="exact"/>
        <w:ind w:firstLine="640" w:firstLineChars="200"/>
        <w:rPr>
          <w:rFonts w:ascii="仿宋_GB2312" w:hAnsi="仿宋" w:eastAsia="仿宋_GB2312"/>
          <w:color w:val="000000"/>
          <w:sz w:val="32"/>
          <w:szCs w:val="32"/>
          <w:u w:val="none"/>
        </w:rPr>
      </w:pPr>
      <w:r>
        <w:rPr>
          <w:rFonts w:hint="eastAsia" w:ascii="仿宋_GB2312" w:hAnsi="仿宋" w:eastAsia="仿宋_GB2312"/>
          <w:color w:val="000000"/>
          <w:sz w:val="32"/>
          <w:szCs w:val="32"/>
          <w:u w:val="none"/>
        </w:rPr>
        <w:t>当事人取得营业执照并取得医疗机构执业许可证从事医疗服务。当事人于2020年从天津丰国商贸有限公司购进未张贴检定合格证的“yuwell鱼跃”血压计（器号27291977、29449528），于2021年从天津信捷商贸有限公司购进检定合格证过期的yuwell鱼跃”血压计（器号33188120）, 2022年7月1日我局执法人员对天津北辰科技园区辽河北路天津安捷医院有限公司进行监督检查时发现，当事人正在使用的两台“yuwell鱼跃”血压计（器号27291977、29449528）未张贴检定合格证，最近一次检定合格证截止期限是2021年7月，一台yuwell鱼跃”血压计（器号33188120）张贴的检定合格证有效期为2022年1月，已过期，均未按时进行检定。上述行为满足属于强制检定范围的计量器具未按照规定申请检定继续使用的行为构成要件。</w:t>
      </w:r>
    </w:p>
    <w:p>
      <w:pPr>
        <w:spacing w:line="48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上述事实，主要有以下证据证明：1.当事人的营业执照、医疗机构执业许可证复印件、法定代表人王雪身份证复印件；2. 2022年7月1日现场笔录、现场照片；3.对法定代表人王雪的询问笔录、委托书；4.血压计进货票据；5.市场监管总局办公厅关于发布《实施强制管理的计量器具目录适用国家计量技术规范》。</w:t>
      </w:r>
    </w:p>
    <w:p>
      <w:pPr>
        <w:spacing w:line="48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8</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29</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510</w:t>
      </w:r>
      <w:r>
        <w:rPr>
          <w:rFonts w:hint="eastAsia" w:ascii="Times New Roman" w:hAnsi="Times New Roman" w:eastAsia="仿宋_GB2312" w:cs="仿宋"/>
          <w:bCs/>
          <w:color w:val="000000"/>
          <w:sz w:val="32"/>
          <w:szCs w:val="32"/>
          <w:u w:val="none"/>
        </w:rPr>
        <w:t>号），当事人未提出陈述申辩意见。</w:t>
      </w:r>
    </w:p>
    <w:p>
      <w:pPr>
        <w:spacing w:line="480" w:lineRule="exact"/>
        <w:ind w:firstLine="640" w:firstLineChars="200"/>
        <w:rPr>
          <w:rFonts w:ascii="仿宋_GB2312" w:eastAsia="仿宋_GB2312" w:cs="仿宋_GB2312"/>
          <w:bCs/>
          <w:sz w:val="32"/>
          <w:szCs w:val="32"/>
          <w:u w:val="none"/>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中华人民共和国计量法》第九条第一款：“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的规定。</w:t>
      </w:r>
      <w:r>
        <w:rPr>
          <w:rFonts w:ascii="仿宋_GB2312" w:eastAsia="仿宋_GB2312" w:cs="仿宋_GB2312"/>
          <w:bCs/>
          <w:sz w:val="32"/>
          <w:szCs w:val="32"/>
          <w:u w:val="none"/>
        </w:rPr>
        <w:t xml:space="preserve"> </w:t>
      </w:r>
    </w:p>
    <w:p>
      <w:pPr>
        <w:spacing w:line="48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依据《中华人民共和国计量法》第二十五条：“属于强制检定范围的计量器具，未按照规定申请检定或者检定不合格继续使用的，责令停止使用，可以并处罚款。”和《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元以下的罚款。”的规定，责令当事人停止违法行为，并给予以下行政处罚：1.罚款500元。</w:t>
      </w:r>
    </w:p>
    <w:p>
      <w:pPr>
        <w:spacing w:line="48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jc w:val="both"/>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日</w:t>
      </w: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198"/>
    <w:rsid w:val="0008087A"/>
    <w:rsid w:val="001051A1"/>
    <w:rsid w:val="00116B9C"/>
    <w:rsid w:val="00146018"/>
    <w:rsid w:val="00147084"/>
    <w:rsid w:val="001A180C"/>
    <w:rsid w:val="001B5319"/>
    <w:rsid w:val="00233695"/>
    <w:rsid w:val="00254851"/>
    <w:rsid w:val="00270884"/>
    <w:rsid w:val="002A03F8"/>
    <w:rsid w:val="002C41A4"/>
    <w:rsid w:val="002F2FC4"/>
    <w:rsid w:val="002F5E37"/>
    <w:rsid w:val="003050EB"/>
    <w:rsid w:val="00306EE2"/>
    <w:rsid w:val="00311080"/>
    <w:rsid w:val="00363089"/>
    <w:rsid w:val="0036717F"/>
    <w:rsid w:val="0038449B"/>
    <w:rsid w:val="00391B0A"/>
    <w:rsid w:val="00402B93"/>
    <w:rsid w:val="00460F33"/>
    <w:rsid w:val="00483276"/>
    <w:rsid w:val="00492ACB"/>
    <w:rsid w:val="004A5AC3"/>
    <w:rsid w:val="004F2955"/>
    <w:rsid w:val="005046CC"/>
    <w:rsid w:val="00562944"/>
    <w:rsid w:val="00567FA1"/>
    <w:rsid w:val="00587305"/>
    <w:rsid w:val="005B15A7"/>
    <w:rsid w:val="005D7422"/>
    <w:rsid w:val="005E0E0B"/>
    <w:rsid w:val="0061081E"/>
    <w:rsid w:val="006640B1"/>
    <w:rsid w:val="0068712C"/>
    <w:rsid w:val="00695245"/>
    <w:rsid w:val="006C58E2"/>
    <w:rsid w:val="0070144C"/>
    <w:rsid w:val="00710E68"/>
    <w:rsid w:val="00740ECC"/>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25DE4"/>
    <w:rsid w:val="00B66DB9"/>
    <w:rsid w:val="00B86A09"/>
    <w:rsid w:val="00BA0EE8"/>
    <w:rsid w:val="00BA7B66"/>
    <w:rsid w:val="00BB08BC"/>
    <w:rsid w:val="00BB1F0D"/>
    <w:rsid w:val="00BB3C43"/>
    <w:rsid w:val="00BE6579"/>
    <w:rsid w:val="00BF54D8"/>
    <w:rsid w:val="00C32623"/>
    <w:rsid w:val="00C4067B"/>
    <w:rsid w:val="00C476B2"/>
    <w:rsid w:val="00C75723"/>
    <w:rsid w:val="00C87CCA"/>
    <w:rsid w:val="00C927DD"/>
    <w:rsid w:val="00CD27EB"/>
    <w:rsid w:val="00CF10B0"/>
    <w:rsid w:val="00D27978"/>
    <w:rsid w:val="00D62B02"/>
    <w:rsid w:val="00D71FC1"/>
    <w:rsid w:val="00D80845"/>
    <w:rsid w:val="00DA30A2"/>
    <w:rsid w:val="00E06226"/>
    <w:rsid w:val="00E156F7"/>
    <w:rsid w:val="00E74D12"/>
    <w:rsid w:val="00EA3874"/>
    <w:rsid w:val="00EB65A9"/>
    <w:rsid w:val="00EE3FFF"/>
    <w:rsid w:val="00EF34F3"/>
    <w:rsid w:val="00EF68B8"/>
    <w:rsid w:val="00F05851"/>
    <w:rsid w:val="00F36FA0"/>
    <w:rsid w:val="00F370B8"/>
    <w:rsid w:val="00F75002"/>
    <w:rsid w:val="00F76B87"/>
    <w:rsid w:val="00FE1B1F"/>
    <w:rsid w:val="00FF33C4"/>
    <w:rsid w:val="019A4356"/>
    <w:rsid w:val="0A532AC6"/>
    <w:rsid w:val="0B252F87"/>
    <w:rsid w:val="1A523DD2"/>
    <w:rsid w:val="1AB309E6"/>
    <w:rsid w:val="2AB732D7"/>
    <w:rsid w:val="2FE74CDB"/>
    <w:rsid w:val="3405148E"/>
    <w:rsid w:val="39010AE9"/>
    <w:rsid w:val="3D7872D5"/>
    <w:rsid w:val="3DFC6A91"/>
    <w:rsid w:val="4223795D"/>
    <w:rsid w:val="46816F58"/>
    <w:rsid w:val="4A5B3E25"/>
    <w:rsid w:val="4DC23B3D"/>
    <w:rsid w:val="550D4146"/>
    <w:rsid w:val="6D631076"/>
    <w:rsid w:val="765C0B4F"/>
    <w:rsid w:val="7C0A6A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qFormat/>
    <w:uiPriority w:val="99"/>
    <w:rPr>
      <w:rFonts w:cs="Times New Roman"/>
      <w:i/>
    </w:rPr>
  </w:style>
  <w:style w:type="character" w:customStyle="1" w:styleId="7">
    <w:name w:val="页眉 字符"/>
    <w:link w:val="3"/>
    <w:qFormat/>
    <w:uiPriority w:val="99"/>
    <w:rPr>
      <w:sz w:val="18"/>
      <w:szCs w:val="18"/>
    </w:rPr>
  </w:style>
  <w:style w:type="character" w:customStyle="1" w:styleId="8">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277</Words>
  <Characters>1580</Characters>
  <Lines>13</Lines>
  <Paragraphs>3</Paragraphs>
  <TotalTime>176</TotalTime>
  <ScaleCrop>false</ScaleCrop>
  <LinksUpToDate>false</LinksUpToDate>
  <CharactersWithSpaces>1854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2021-09-06T17:06:00Z</dcterms:created>
  <dc:creator>李光磊</dc:creator>
  <cp:lastModifiedBy>greatwall</cp:lastModifiedBy>
  <cp:lastPrinted>2021-09-01T17:20:00Z</cp:lastPrinted>
  <dcterms:modified xsi:type="dcterms:W3CDTF">2022-09-20T15:21:53Z</dcterms:modified>
  <dc:title>天津市北辰区市场监督管理局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