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2〕518号</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天津市北辰区果果鲜食品经营部（李大宽）</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4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sz w:val="32"/>
          <w:szCs w:val="32"/>
        </w:rPr>
        <w:t>92120113MA06QXTW0X</w:t>
      </w:r>
    </w:p>
    <w:p>
      <w:pPr>
        <w:snapToGrid w:val="0"/>
        <w:spacing w:line="54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rPr>
        <w:t>天津市北辰区佳荣里街佳荣里1-1-103</w:t>
      </w:r>
    </w:p>
    <w:p>
      <w:pPr>
        <w:snapToGrid w:val="0"/>
        <w:spacing w:line="54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李大宽</w:t>
      </w:r>
    </w:p>
    <w:p>
      <w:pPr>
        <w:snapToGrid w:val="0"/>
        <w:spacing w:line="540" w:lineRule="exact"/>
        <w:jc w:val="left"/>
        <w:rPr>
          <w:rFonts w:hint="eastAsia" w:ascii="Times New Roman" w:hAnsi="Times New Roman" w:eastAsia="仿宋_GB2312" w:cs="Mongolian Baiti"/>
          <w:kern w:val="1"/>
          <w:sz w:val="32"/>
          <w:szCs w:val="32"/>
          <w:lang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sz w:val="32"/>
          <w:szCs w:val="32"/>
          <w:lang w:val="en-US" w:eastAsia="zh-CN"/>
        </w:rPr>
        <w:t>/</w:t>
      </w:r>
    </w:p>
    <w:p>
      <w:pPr>
        <w:spacing w:line="54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2022年7月7日，</w:t>
      </w:r>
      <w:r>
        <w:rPr>
          <w:rFonts w:hint="eastAsia" w:ascii="仿宋_GB2312" w:hAnsi="仿宋" w:eastAsia="仿宋_GB2312"/>
          <w:color w:val="000000"/>
          <w:sz w:val="32"/>
          <w:szCs w:val="32"/>
        </w:rPr>
        <w:t>我局执法人员在对位于</w:t>
      </w:r>
      <w:r>
        <w:rPr>
          <w:rFonts w:hint="eastAsia" w:ascii="仿宋_GB2312" w:eastAsia="仿宋_GB2312" w:cs="仿宋_GB2312"/>
          <w:sz w:val="32"/>
          <w:szCs w:val="32"/>
        </w:rPr>
        <w:t>天津市北辰区佳荣里街佳荣里1-1-103</w:t>
      </w:r>
      <w:r>
        <w:rPr>
          <w:rFonts w:hint="eastAsia" w:ascii="仿宋_GB2312" w:hAnsi="仿宋" w:eastAsia="仿宋_GB2312"/>
          <w:color w:val="000000"/>
          <w:sz w:val="32"/>
          <w:szCs w:val="32"/>
        </w:rPr>
        <w:t>的</w:t>
      </w:r>
      <w:r>
        <w:rPr>
          <w:rFonts w:hint="eastAsia" w:ascii="仿宋_GB2312" w:eastAsia="仿宋_GB2312" w:cs="仿宋_GB2312"/>
          <w:sz w:val="32"/>
          <w:szCs w:val="32"/>
        </w:rPr>
        <w:t>李大宽</w:t>
      </w:r>
      <w:r>
        <w:rPr>
          <w:rFonts w:hint="eastAsia" w:ascii="仿宋_GB2312" w:eastAsia="仿宋_GB2312" w:cs="Mongolian Baiti"/>
          <w:color w:val="00000A"/>
          <w:sz w:val="32"/>
          <w:szCs w:val="32"/>
        </w:rPr>
        <w:t>经营的</w:t>
      </w:r>
      <w:r>
        <w:rPr>
          <w:rFonts w:hint="eastAsia" w:ascii="仿宋_GB2312" w:eastAsia="仿宋_GB2312" w:cs="仿宋_GB2312"/>
          <w:sz w:val="32"/>
          <w:szCs w:val="32"/>
        </w:rPr>
        <w:t>天津市北辰区果果鲜食品经营部</w:t>
      </w:r>
      <w:r>
        <w:rPr>
          <w:rFonts w:hint="eastAsia" w:ascii="仿宋_GB2312" w:hAnsi="仿宋" w:eastAsia="仿宋_GB2312"/>
          <w:color w:val="000000"/>
          <w:sz w:val="32"/>
          <w:szCs w:val="32"/>
        </w:rPr>
        <w:t>进行检查时发现，店内进门左侧货架摆放有待售的香蕉、椰青、榴莲，上述水果未标明品名、价格和计价单位等信息。</w:t>
      </w:r>
      <w:r>
        <w:rPr>
          <w:rFonts w:hint="eastAsia" w:ascii="仿宋_GB2312" w:hAnsi="仿宋" w:eastAsia="仿宋_GB2312"/>
          <w:sz w:val="32"/>
          <w:szCs w:val="32"/>
        </w:rPr>
        <w:t>当事人涉嫌</w:t>
      </w:r>
      <w:r>
        <w:rPr>
          <w:rFonts w:hint="eastAsia" w:ascii="仿宋_GB2312" w:eastAsia="仿宋_GB2312" w:cs="仿宋_GB2312"/>
          <w:bCs/>
          <w:sz w:val="32"/>
          <w:szCs w:val="32"/>
        </w:rPr>
        <w:t>违反规定未明码标价销售水果</w:t>
      </w:r>
      <w:r>
        <w:rPr>
          <w:rFonts w:hint="eastAsia" w:ascii="仿宋_GB2312" w:hAnsi="仿宋" w:eastAsia="仿宋_GB2312"/>
          <w:sz w:val="32"/>
          <w:szCs w:val="32"/>
        </w:rPr>
        <w:t>,同日，执法人员报经局领导批准，予以立案调查。执法人员采取现场检查、询问相关人员等方式进行了调查。</w:t>
      </w:r>
    </w:p>
    <w:p>
      <w:pPr>
        <w:spacing w:line="540" w:lineRule="exact"/>
        <w:ind w:firstLine="640" w:firstLineChars="200"/>
        <w:rPr>
          <w:rFonts w:ascii="仿宋_GB2312" w:eastAsia="仿宋_GB2312"/>
          <w:color w:val="000000"/>
          <w:sz w:val="32"/>
          <w:szCs w:val="32"/>
        </w:rPr>
      </w:pPr>
      <w:r>
        <w:rPr>
          <w:rFonts w:hint="eastAsia" w:ascii="仿宋_GB2312" w:hAnsi="Times New Roman" w:eastAsia="仿宋_GB2312" w:cs="仿宋_GB2312"/>
          <w:sz w:val="32"/>
          <w:szCs w:val="32"/>
        </w:rPr>
        <w:t>经查，当事人于2019年7月25日取得营业执照，2019年8月6日取得食品经营许可证从事食品销售。2022年7月6日，当事人花费600元购进榴莲33斤；2022年7月7日，当事人花费270元购进香蕉78斤、花费100元购进椰青9个。2022年7月7日，当事人将上述水果摆放于店内货架上销售，没有标明品名、价格和计价单位等信息。上述行为满足违反规定未明码标价销售水果的构成要件，截至案发，上述水果未销售，无违法所得。</w:t>
      </w:r>
    </w:p>
    <w:p>
      <w:pPr>
        <w:spacing w:line="540" w:lineRule="exact"/>
        <w:ind w:firstLine="640" w:firstLineChars="200"/>
        <w:rPr>
          <w:rFonts w:ascii="仿宋_GB2312" w:eastAsia="仿宋_GB2312"/>
          <w:sz w:val="32"/>
          <w:szCs w:val="32"/>
        </w:rPr>
      </w:pPr>
      <w:r>
        <w:rPr>
          <w:rFonts w:hint="eastAsia" w:ascii="仿宋_GB2312" w:hAnsi="Times New Roman" w:eastAsia="仿宋_GB2312" w:cs="仿宋"/>
          <w:color w:val="000000"/>
          <w:sz w:val="32"/>
          <w:szCs w:val="32"/>
        </w:rPr>
        <w:t>上述事实，主要有以下证据证明：</w:t>
      </w:r>
      <w:r>
        <w:rPr>
          <w:rFonts w:hint="eastAsia" w:ascii="仿宋_GB2312" w:eastAsia="仿宋_GB2312"/>
          <w:sz w:val="32"/>
          <w:szCs w:val="32"/>
        </w:rPr>
        <w:t>1.当事人的营业执照复印</w:t>
      </w:r>
    </w:p>
    <w:p>
      <w:pPr>
        <w:spacing w:line="540" w:lineRule="exact"/>
        <w:rPr>
          <w:rFonts w:ascii="仿宋_GB2312" w:eastAsia="仿宋_GB2312"/>
          <w:sz w:val="32"/>
          <w:szCs w:val="32"/>
        </w:rPr>
      </w:pPr>
      <w:r>
        <w:rPr>
          <w:rFonts w:hint="eastAsia" w:ascii="仿宋_GB2312" w:eastAsia="仿宋_GB2312"/>
          <w:sz w:val="32"/>
          <w:szCs w:val="32"/>
        </w:rPr>
        <w:t>件、食品经营许可证复印件、经营者</w:t>
      </w:r>
      <w:r>
        <w:rPr>
          <w:rFonts w:hint="eastAsia" w:ascii="仿宋_GB2312" w:hAnsi="仿宋" w:eastAsia="仿宋_GB2312"/>
          <w:color w:val="000000"/>
          <w:sz w:val="32"/>
          <w:szCs w:val="32"/>
        </w:rPr>
        <w:t>李大宽</w:t>
      </w:r>
      <w:r>
        <w:rPr>
          <w:rFonts w:hint="eastAsia" w:ascii="仿宋_GB2312" w:eastAsia="仿宋_GB2312"/>
          <w:sz w:val="32"/>
          <w:szCs w:val="32"/>
        </w:rPr>
        <w:t>的身份证复印件；2.现场笔录、现场照片；3.对</w:t>
      </w:r>
      <w:r>
        <w:rPr>
          <w:rFonts w:hint="eastAsia" w:ascii="仿宋_GB2312" w:hAnsi="仿宋" w:eastAsia="仿宋_GB2312"/>
          <w:color w:val="000000"/>
          <w:sz w:val="32"/>
          <w:szCs w:val="32"/>
        </w:rPr>
        <w:t>李大宽</w:t>
      </w:r>
      <w:r>
        <w:rPr>
          <w:rFonts w:hint="eastAsia" w:ascii="仿宋_GB2312" w:eastAsia="仿宋_GB2312"/>
          <w:sz w:val="32"/>
          <w:szCs w:val="32"/>
        </w:rPr>
        <w:t>的询问笔录；4.对当事人进行复查的现场笔录。</w:t>
      </w:r>
    </w:p>
    <w:p>
      <w:pPr>
        <w:spacing w:line="540" w:lineRule="exact"/>
        <w:ind w:firstLine="640" w:firstLineChars="200"/>
        <w:jc w:val="left"/>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2年7月29日依法向当事人送达了《行政处罚告知书》（津辰市监罚告〔20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2〕518号），当事人未提出陈述申辩意见。</w:t>
      </w:r>
    </w:p>
    <w:p>
      <w:pPr>
        <w:snapToGrid w:val="0"/>
        <w:spacing w:line="540" w:lineRule="exact"/>
        <w:ind w:firstLine="640" w:firstLineChars="200"/>
        <w:rPr>
          <w:rFonts w:ascii="仿宋_GB2312"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r>
        <w:rPr>
          <w:rFonts w:hint="eastAsia" w:ascii="仿宋_GB2312" w:hAnsi="仿宋" w:eastAsia="仿宋_GB2312"/>
          <w:sz w:val="32"/>
          <w:szCs w:val="32"/>
        </w:rPr>
        <w:t>，依据《中华人民共和国价格法》第四十二条“经营者违反明码标价规定的，责令改正，没收违法所得，可以并处五千元以下的罚款。”和《价格违法行为行政处罚规定》第十三条第一项“经营者违反明码标价规定，有下列行为之一的，责令改正，没收违法所得，可以并处5000元以下的罚款：（一）不标明价格的”的规定，”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40" w:lineRule="exact"/>
        <w:ind w:firstLine="640" w:firstLineChars="200"/>
        <w:rPr>
          <w:rFonts w:ascii="仿宋_GB2312" w:hAnsi="Times New Roman" w:eastAsia="仿宋_GB2312"/>
          <w:sz w:val="32"/>
          <w:szCs w:val="32"/>
        </w:rPr>
      </w:pPr>
      <w:r>
        <w:rPr>
          <w:rFonts w:hint="eastAsia" w:ascii="仿宋_GB2312" w:hAnsi="宋体" w:eastAsia="仿宋_GB2312" w:cs="宋体"/>
          <w:color w:val="212121"/>
          <w:kern w:val="0"/>
          <w:sz w:val="32"/>
          <w:szCs w:val="32"/>
        </w:rPr>
        <w:t>鉴于当事人属初次违法，且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的情形，予以从轻处罚。</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《中华人民共和国价格法》</w:t>
      </w:r>
    </w:p>
    <w:p>
      <w:pPr>
        <w:snapToGrid w:val="0"/>
        <w:spacing w:line="540" w:lineRule="exact"/>
        <w:jc w:val="left"/>
        <w:rPr>
          <w:rFonts w:ascii="仿宋_GB2312" w:hAnsi="仿宋" w:eastAsia="仿宋_GB2312"/>
          <w:sz w:val="32"/>
          <w:szCs w:val="32"/>
        </w:rPr>
      </w:pPr>
      <w:r>
        <w:rPr>
          <w:rFonts w:hint="eastAsia" w:ascii="仿宋_GB2312" w:hAnsi="仿宋" w:eastAsia="仿宋_GB2312"/>
          <w:sz w:val="32"/>
          <w:szCs w:val="32"/>
        </w:rPr>
        <w:t>第十三条第一款</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《中华人民共和国价格法》第四十二条和《价格违法行为行政处罚规定》第十三条第一项</w:t>
      </w:r>
      <w:r>
        <w:rPr>
          <w:rFonts w:hint="eastAsia" w:ascii="仿宋_GB2312" w:eastAsia="仿宋_GB2312"/>
          <w:bCs/>
          <w:sz w:val="32"/>
          <w:szCs w:val="32"/>
        </w:rPr>
        <w:t>的</w:t>
      </w:r>
      <w:r>
        <w:rPr>
          <w:rFonts w:ascii="仿宋_GB2312" w:eastAsia="仿宋_GB2312"/>
          <w:bCs/>
          <w:sz w:val="32"/>
          <w:szCs w:val="32"/>
        </w:rPr>
        <w:t>规定，决定处罚如下：</w:t>
      </w:r>
      <w:r>
        <w:rPr>
          <w:rFonts w:hint="eastAsia" w:ascii="仿宋_GB2312" w:hAnsi="仿宋" w:eastAsia="仿宋_GB2312"/>
          <w:sz w:val="32"/>
          <w:szCs w:val="32"/>
        </w:rPr>
        <w:t>罚款500元。</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价格违法行为行政处罚规定》第二十一条的规定，每日按罚款数额的３％加处罚款；逾期不缴纳违法所得的，每日按违法所得数额的２‰加处罚款，并依法申请人民法院强制执行。</w:t>
      </w:r>
    </w:p>
    <w:p>
      <w:pPr>
        <w:snapToGrid w:val="0"/>
        <w:spacing w:line="540" w:lineRule="exact"/>
        <w:ind w:firstLine="640" w:firstLineChars="200"/>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8</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8</w:t>
      </w:r>
      <w:r>
        <w:rPr>
          <w:rFonts w:hint="eastAsia" w:ascii="Times New Roman" w:hAnsi="Times New Roman" w:eastAsia="仿宋_GB2312" w:cs="仿宋"/>
          <w:color w:val="000000"/>
          <w:sz w:val="32"/>
          <w:szCs w:val="32"/>
        </w:rPr>
        <w:t>日</w:t>
      </w:r>
    </w:p>
    <w:p>
      <w:pPr>
        <w:spacing w:line="520" w:lineRule="exact"/>
        <w:jc w:val="both"/>
        <w:rPr>
          <w:rFonts w:ascii="Times New Roman" w:hAnsi="Times New Roman" w:cs="宋体"/>
          <w:color w:val="000000"/>
          <w:sz w:val="44"/>
          <w:szCs w:val="44"/>
        </w:rPr>
      </w:pPr>
      <w:bookmarkStart w:id="0" w:name="_GoBack"/>
      <w:bookmarkEnd w:id="0"/>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45AA7"/>
    <w:rsid w:val="00146365"/>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236FF"/>
    <w:rsid w:val="004437D9"/>
    <w:rsid w:val="00450382"/>
    <w:rsid w:val="004A51E7"/>
    <w:rsid w:val="004B09E2"/>
    <w:rsid w:val="004B1E0A"/>
    <w:rsid w:val="004B1EF9"/>
    <w:rsid w:val="004D19B9"/>
    <w:rsid w:val="004F7283"/>
    <w:rsid w:val="00521F53"/>
    <w:rsid w:val="00523B7A"/>
    <w:rsid w:val="00586CCA"/>
    <w:rsid w:val="00593FBE"/>
    <w:rsid w:val="005C27F7"/>
    <w:rsid w:val="005C74FD"/>
    <w:rsid w:val="00626739"/>
    <w:rsid w:val="00676C8A"/>
    <w:rsid w:val="006958BA"/>
    <w:rsid w:val="006A4EB1"/>
    <w:rsid w:val="006E572E"/>
    <w:rsid w:val="006F10D0"/>
    <w:rsid w:val="007010B3"/>
    <w:rsid w:val="007637AB"/>
    <w:rsid w:val="007A0DBB"/>
    <w:rsid w:val="007A1B5A"/>
    <w:rsid w:val="007B1827"/>
    <w:rsid w:val="007D4379"/>
    <w:rsid w:val="007E44E6"/>
    <w:rsid w:val="00803295"/>
    <w:rsid w:val="00864FC6"/>
    <w:rsid w:val="008663BE"/>
    <w:rsid w:val="008C6FC3"/>
    <w:rsid w:val="008F37CC"/>
    <w:rsid w:val="008F7844"/>
    <w:rsid w:val="009324FF"/>
    <w:rsid w:val="009476ED"/>
    <w:rsid w:val="00972876"/>
    <w:rsid w:val="00976F1E"/>
    <w:rsid w:val="0098174B"/>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BC70CB"/>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FEFFF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260</Words>
  <Characters>1488</Characters>
  <Lines>12</Lines>
  <Paragraphs>3</Paragraphs>
  <TotalTime>2124</TotalTime>
  <ScaleCrop>false</ScaleCrop>
  <LinksUpToDate>false</LinksUpToDate>
  <CharactersWithSpaces>1745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2022-08-05T16:42:00Z</cp:lastPrinted>
  <dcterms:modified xsi:type="dcterms:W3CDTF">2022-08-08T16:32:18Z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