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w:t>
      </w:r>
      <w:r>
        <w:rPr>
          <w:rFonts w:ascii="Times New Roman" w:hAnsi="Times New Roman" w:eastAsia="方正小标宋简体" w:cs="方正小标宋简体"/>
          <w:bCs/>
          <w:sz w:val="44"/>
          <w:szCs w:val="44"/>
        </w:rPr>
        <w:t>北辰区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spacing w:before="312" w:beforeLines="100" w:after="312" w:afterLines="100" w:line="420" w:lineRule="exact"/>
        <w:jc w:val="center"/>
        <w:rPr>
          <w:rFonts w:ascii="Times New Roman" w:hAnsi="Times New Roman" w:eastAsia="仿宋_GB2312" w:cs="仿宋"/>
          <w:sz w:val="32"/>
          <w:szCs w:val="32"/>
        </w:rPr>
      </w:pPr>
      <w:r>
        <w:rPr>
          <w:rFonts w:hint="eastAsia" w:ascii="Times New Roman" w:hAnsi="Times New Roman" w:eastAsia="仿宋_GB2312" w:cs="仿宋"/>
          <w:sz w:val="32"/>
          <w:szCs w:val="32"/>
        </w:rPr>
        <w:t>津辰市监处罚〔</w:t>
      </w:r>
      <w:r>
        <w:rPr>
          <w:rFonts w:ascii="Times New Roman" w:hAnsi="Times New Roman" w:eastAsia="仿宋_GB2312" w:cs="仿宋"/>
          <w:sz w:val="32"/>
          <w:szCs w:val="32"/>
        </w:rPr>
        <w:t>202</w:t>
      </w:r>
      <w:r>
        <w:rPr>
          <w:rFonts w:hint="eastAsia" w:ascii="Times New Roman" w:hAnsi="Times New Roman" w:eastAsia="仿宋_GB2312" w:cs="仿宋"/>
          <w:sz w:val="32"/>
          <w:szCs w:val="32"/>
        </w:rPr>
        <w:t>2〕520号</w:t>
      </w:r>
    </w:p>
    <w:p>
      <w:pPr>
        <w:snapToGrid w:val="0"/>
        <w:spacing w:line="540" w:lineRule="exact"/>
        <w:jc w:val="lef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仿宋_GB2312" w:eastAsia="仿宋_GB2312" w:cs="仿宋_GB2312"/>
          <w:sz w:val="32"/>
          <w:szCs w:val="32"/>
        </w:rPr>
        <w:t>天津市北辰区珊珊奶茶店（高珊）</w:t>
      </w:r>
    </w:p>
    <w:p>
      <w:pPr>
        <w:snapToGrid w:val="0"/>
        <w:spacing w:line="540" w:lineRule="exact"/>
        <w:jc w:val="left"/>
        <w:rPr>
          <w:rFonts w:ascii="Times New Roman" w:hAnsi="Times New Roman" w:eastAsia="仿宋_GB2312" w:cs="Mongolian Baiti"/>
          <w:sz w:val="32"/>
          <w:szCs w:val="32"/>
        </w:rPr>
      </w:pPr>
      <w:r>
        <w:rPr>
          <w:rFonts w:hint="eastAsia" w:ascii="Times New Roman" w:hAnsi="Times New Roman" w:eastAsia="仿宋_GB2312" w:cs="Mongolian Baiti"/>
          <w:kern w:val="1"/>
          <w:sz w:val="32"/>
          <w:szCs w:val="32"/>
        </w:rPr>
        <w:t>主体资格证照名称：营业执照</w:t>
      </w:r>
    </w:p>
    <w:p>
      <w:pPr>
        <w:snapToGrid w:val="0"/>
        <w:spacing w:line="540" w:lineRule="exact"/>
        <w:ind w:hanging="140"/>
        <w:jc w:val="left"/>
        <w:rPr>
          <w:rFonts w:ascii="仿宋_GB2312" w:eastAsia="仿宋_GB2312"/>
          <w:sz w:val="32"/>
          <w:szCs w:val="32"/>
        </w:rPr>
      </w:pPr>
      <w:r>
        <w:rPr>
          <w:rFonts w:hint="eastAsia" w:ascii="Times New Roman" w:hAnsi="Times New Roman" w:eastAsia="仿宋_GB2312" w:cs="Mongolian Baiti"/>
          <w:kern w:val="1"/>
          <w:sz w:val="32"/>
          <w:szCs w:val="32"/>
        </w:rPr>
        <w:t xml:space="preserve"> 统一社会信用代码：</w:t>
      </w:r>
      <w:r>
        <w:rPr>
          <w:rFonts w:hint="eastAsia" w:ascii="仿宋_GB2312" w:eastAsia="仿宋_GB2312" w:cs="仿宋_GB2312"/>
          <w:sz w:val="32"/>
          <w:szCs w:val="32"/>
        </w:rPr>
        <w:t>92120113MA06FGWH0A</w:t>
      </w:r>
    </w:p>
    <w:p>
      <w:pPr>
        <w:snapToGrid w:val="0"/>
        <w:spacing w:line="540" w:lineRule="exact"/>
        <w:jc w:val="left"/>
        <w:rPr>
          <w:rFonts w:ascii="仿宋_GB2312" w:eastAsia="仿宋_GB2312" w:cs="仿宋_GB2312"/>
          <w:spacing w:val="-20"/>
          <w:sz w:val="32"/>
          <w:szCs w:val="32"/>
        </w:rPr>
      </w:pPr>
      <w:r>
        <w:rPr>
          <w:rFonts w:hint="eastAsia" w:ascii="Times New Roman" w:hAnsi="Times New Roman" w:eastAsia="仿宋_GB2312" w:cs="Mongolian Baiti"/>
          <w:kern w:val="1"/>
          <w:sz w:val="32"/>
          <w:szCs w:val="32"/>
        </w:rPr>
        <w:t>住所（住址）：</w:t>
      </w:r>
      <w:r>
        <w:rPr>
          <w:rFonts w:hint="eastAsia" w:ascii="仿宋_GB2312" w:eastAsia="仿宋_GB2312" w:cs="仿宋_GB2312"/>
          <w:spacing w:val="-20"/>
          <w:sz w:val="32"/>
          <w:szCs w:val="32"/>
        </w:rPr>
        <w:t>天津市北辰区佳荣里街佳荣里11号楼底商104-105</w:t>
      </w:r>
    </w:p>
    <w:p>
      <w:pPr>
        <w:snapToGrid w:val="0"/>
        <w:spacing w:line="540" w:lineRule="exact"/>
        <w:jc w:val="lef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法定代表人（负责人、经营者）：</w:t>
      </w:r>
      <w:r>
        <w:rPr>
          <w:rFonts w:hint="eastAsia" w:ascii="仿宋_GB2312" w:eastAsia="仿宋_GB2312" w:cs="仿宋_GB2312"/>
          <w:sz w:val="32"/>
          <w:szCs w:val="32"/>
        </w:rPr>
        <w:t>高珊</w:t>
      </w:r>
    </w:p>
    <w:p>
      <w:pPr>
        <w:spacing w:line="540" w:lineRule="exact"/>
        <w:jc w:val="left"/>
        <w:rPr>
          <w:rFonts w:hint="eastAsia" w:ascii="仿宋_GB2312" w:eastAsia="仿宋_GB2312" w:cs="仿宋_GB2312"/>
          <w:sz w:val="32"/>
          <w:szCs w:val="32"/>
          <w:lang w:val="en-US" w:eastAsia="zh-CN"/>
        </w:rPr>
      </w:pPr>
      <w:r>
        <w:rPr>
          <w:rFonts w:hint="eastAsia" w:ascii="Times New Roman" w:hAnsi="Times New Roman" w:eastAsia="仿宋_GB2312" w:cs="Mongolian Baiti"/>
          <w:kern w:val="1"/>
          <w:sz w:val="32"/>
          <w:szCs w:val="32"/>
        </w:rPr>
        <w:t>身份证件号码：</w:t>
      </w:r>
      <w:r>
        <w:rPr>
          <w:rFonts w:hint="eastAsia" w:ascii="仿宋_GB2312" w:eastAsia="仿宋_GB2312" w:cs="仿宋_GB2312"/>
          <w:sz w:val="32"/>
          <w:szCs w:val="32"/>
          <w:lang w:val="en-US" w:eastAsia="zh-CN"/>
        </w:rPr>
        <w:t>/</w:t>
      </w:r>
    </w:p>
    <w:p>
      <w:pPr>
        <w:spacing w:line="540" w:lineRule="exact"/>
        <w:jc w:val="left"/>
        <w:rPr>
          <w:rFonts w:ascii="仿宋_GB2312" w:hAnsi="仿宋" w:eastAsia="仿宋_GB2312"/>
          <w:sz w:val="32"/>
          <w:szCs w:val="32"/>
        </w:rPr>
      </w:pPr>
      <w:r>
        <w:rPr>
          <w:rFonts w:hint="eastAsia" w:ascii="仿宋_GB2312" w:eastAsia="仿宋_GB2312" w:cs="仿宋_GB2312"/>
          <w:sz w:val="32"/>
          <w:szCs w:val="32"/>
        </w:rPr>
        <w:t xml:space="preserve">    2022年7月14日，</w:t>
      </w:r>
      <w:r>
        <w:rPr>
          <w:rFonts w:hint="eastAsia" w:ascii="仿宋_GB2312" w:hAnsi="仿宋" w:eastAsia="仿宋_GB2312"/>
          <w:color w:val="000000"/>
          <w:sz w:val="32"/>
          <w:szCs w:val="32"/>
        </w:rPr>
        <w:t>我局执法人员在对位于</w:t>
      </w:r>
      <w:r>
        <w:rPr>
          <w:rFonts w:hint="eastAsia" w:ascii="仿宋_GB2312" w:eastAsia="仿宋_GB2312" w:cs="仿宋_GB2312"/>
          <w:sz w:val="32"/>
          <w:szCs w:val="32"/>
        </w:rPr>
        <w:t>天津市北辰区佳荣里街佳荣里11号楼底商104-105</w:t>
      </w:r>
      <w:r>
        <w:rPr>
          <w:rFonts w:hint="eastAsia" w:ascii="仿宋_GB2312" w:hAnsi="仿宋" w:eastAsia="仿宋_GB2312"/>
          <w:color w:val="000000"/>
          <w:sz w:val="32"/>
          <w:szCs w:val="32"/>
        </w:rPr>
        <w:t>的</w:t>
      </w:r>
      <w:r>
        <w:rPr>
          <w:rFonts w:hint="eastAsia" w:ascii="仿宋_GB2312" w:eastAsia="仿宋_GB2312" w:cs="仿宋_GB2312"/>
          <w:sz w:val="32"/>
          <w:szCs w:val="32"/>
        </w:rPr>
        <w:t>高珊</w:t>
      </w:r>
      <w:r>
        <w:rPr>
          <w:rFonts w:hint="eastAsia" w:ascii="仿宋_GB2312" w:eastAsia="仿宋_GB2312" w:cs="Mongolian Baiti"/>
          <w:color w:val="00000A"/>
          <w:sz w:val="32"/>
          <w:szCs w:val="32"/>
        </w:rPr>
        <w:t>经营的</w:t>
      </w:r>
      <w:r>
        <w:rPr>
          <w:rFonts w:hint="eastAsia" w:ascii="仿宋_GB2312" w:eastAsia="仿宋_GB2312" w:cs="仿宋_GB2312"/>
          <w:sz w:val="32"/>
          <w:szCs w:val="32"/>
        </w:rPr>
        <w:t>天津市北辰区珊珊奶茶店</w:t>
      </w:r>
      <w:r>
        <w:rPr>
          <w:rFonts w:hint="eastAsia" w:ascii="仿宋_GB2312" w:hAnsi="仿宋" w:eastAsia="仿宋_GB2312"/>
          <w:color w:val="000000"/>
          <w:sz w:val="32"/>
          <w:szCs w:val="32"/>
        </w:rPr>
        <w:t>进行检查时发现，当事人在美团开设网店“乌铁茶集（必喝奶茶店）”，该网店公示的营业执照和食品经营许可证的信息与店内公示栏公示的信息不一致。</w:t>
      </w:r>
      <w:r>
        <w:rPr>
          <w:rFonts w:hint="eastAsia" w:ascii="仿宋_GB2312" w:hAnsi="仿宋" w:eastAsia="仿宋_GB2312"/>
          <w:sz w:val="32"/>
          <w:szCs w:val="32"/>
        </w:rPr>
        <w:t>当事人涉嫌</w:t>
      </w:r>
      <w:r>
        <w:rPr>
          <w:rFonts w:hint="eastAsia" w:ascii="仿宋_GB2312" w:eastAsia="仿宋_GB2312" w:cs="仿宋_GB2312"/>
          <w:bCs/>
          <w:sz w:val="32"/>
          <w:szCs w:val="32"/>
        </w:rPr>
        <w:t>伪造食品经营许可证</w:t>
      </w:r>
      <w:r>
        <w:rPr>
          <w:rFonts w:hint="eastAsia" w:ascii="仿宋_GB2312" w:hAnsi="仿宋" w:eastAsia="仿宋_GB2312"/>
          <w:sz w:val="32"/>
          <w:szCs w:val="32"/>
        </w:rPr>
        <w:t>,同日，执法人员报经局领导批准，予以立案调查。执法人员采取现场检查、询问相关人员等方式进行了调查。</w:t>
      </w:r>
    </w:p>
    <w:p>
      <w:pPr>
        <w:wordWrap w:val="0"/>
        <w:spacing w:line="540" w:lineRule="exact"/>
        <w:ind w:firstLine="640" w:firstLineChars="200"/>
        <w:jc w:val="left"/>
        <w:rPr>
          <w:rFonts w:ascii="仿宋_GB2312" w:eastAsia="仿宋_GB2312"/>
          <w:color w:val="000000"/>
          <w:sz w:val="32"/>
          <w:szCs w:val="32"/>
        </w:rPr>
      </w:pPr>
      <w:r>
        <w:rPr>
          <w:rFonts w:hint="eastAsia" w:ascii="仿宋_GB2312" w:hAnsi="Times New Roman" w:eastAsia="仿宋_GB2312" w:cs="仿宋_GB2312"/>
          <w:sz w:val="32"/>
          <w:szCs w:val="32"/>
        </w:rPr>
        <w:t>经查，</w:t>
      </w:r>
      <w:r>
        <w:rPr>
          <w:rFonts w:hint="eastAsia" w:ascii="仿宋_GB2312" w:eastAsia="仿宋_GB2312"/>
          <w:color w:val="000000"/>
          <w:sz w:val="32"/>
          <w:szCs w:val="32"/>
        </w:rPr>
        <w:t>当事人于2018年10月12日取得营业执照（载明名称：天津市北辰区姗姗奶茶店，统一社会信用代码：92120113MA06FGWH0A），2018年11月19日取得食品经营许可证（载明经营者名称：天津市北辰区姗姗奶茶店，许可证编号：JY21200130082430）从事餐饮服务，其使用上述营业执照和食品经营许可证在美团开设网店“乌铁茶集（必喝奶茶店）”。2021年3月11日，当事人委托某代运营公司使用天津承悦信商贸有限公司的食品经营许可证（载明经营者名称：天津承悦信商贸有限公司，许可证编号：JY11200130051341）继续运营网店“乌铁茶集（必喝奶茶店）”，上述食品经营许可证经食品经营许可管理系统查询，未发现任何信息。上述行为满足伪造食品经营许可证的构成要件。</w:t>
      </w:r>
    </w:p>
    <w:p>
      <w:pPr>
        <w:spacing w:line="540" w:lineRule="exact"/>
        <w:ind w:firstLine="640" w:firstLineChars="200"/>
        <w:jc w:val="left"/>
        <w:rPr>
          <w:rFonts w:ascii="仿宋_GB2312" w:hAnsi="仿宋" w:eastAsia="仿宋_GB2312"/>
          <w:sz w:val="32"/>
          <w:szCs w:val="32"/>
        </w:rPr>
      </w:pPr>
      <w:r>
        <w:rPr>
          <w:rFonts w:hint="eastAsia" w:ascii="仿宋_GB2312" w:hAnsi="Times New Roman" w:eastAsia="仿宋_GB2312" w:cs="仿宋"/>
          <w:color w:val="000000"/>
          <w:sz w:val="32"/>
          <w:szCs w:val="32"/>
        </w:rPr>
        <w:t>上述事实，主要有以下证据证明：1.当事人的营业执照复印件、食品经营许可证复印件、经营者高珊的身份证复印件；2.现场笔录、现场照片、手机截图；3.对高珊的询问笔录；4.市场监管部门出具的证明；5.当事人提交的整改截图。</w:t>
      </w:r>
    </w:p>
    <w:p>
      <w:pPr>
        <w:spacing w:line="540" w:lineRule="exact"/>
        <w:ind w:firstLine="640" w:firstLineChars="200"/>
        <w:rPr>
          <w:rFonts w:ascii="仿宋_GB2312" w:hAnsi="Times New Roman" w:eastAsia="仿宋_GB2312" w:cs="仿宋"/>
          <w:bCs/>
          <w:color w:val="000000"/>
          <w:sz w:val="32"/>
          <w:szCs w:val="32"/>
        </w:rPr>
      </w:pPr>
      <w:r>
        <w:rPr>
          <w:rFonts w:hint="eastAsia" w:ascii="仿宋_GB2312" w:hAnsi="Times New Roman" w:eastAsia="仿宋_GB2312" w:cs="仿宋"/>
          <w:color w:val="000000"/>
          <w:sz w:val="32"/>
          <w:szCs w:val="32"/>
        </w:rPr>
        <w:t>本局于20</w:t>
      </w: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2年</w:t>
      </w:r>
      <w:r>
        <w:rPr>
          <w:rFonts w:ascii="仿宋_GB2312" w:hAnsi="Times New Roman" w:eastAsia="仿宋_GB2312" w:cs="仿宋"/>
          <w:color w:val="000000"/>
          <w:sz w:val="32"/>
          <w:szCs w:val="32"/>
        </w:rPr>
        <w:t>8</w:t>
      </w:r>
      <w:r>
        <w:rPr>
          <w:rFonts w:hint="eastAsia" w:ascii="仿宋_GB2312" w:hAnsi="Times New Roman" w:eastAsia="仿宋_GB2312" w:cs="仿宋"/>
          <w:color w:val="000000"/>
          <w:sz w:val="32"/>
          <w:szCs w:val="32"/>
        </w:rPr>
        <w:t>月31日依法向当事人送达了《行政处罚告知书》（津辰市监罚告〔20</w:t>
      </w:r>
      <w:r>
        <w:rPr>
          <w:rFonts w:ascii="仿宋_GB2312" w:hAnsi="Times New Roman" w:eastAsia="仿宋_GB2312" w:cs="仿宋"/>
          <w:color w:val="000000"/>
          <w:sz w:val="32"/>
          <w:szCs w:val="32"/>
        </w:rPr>
        <w:t>2</w:t>
      </w:r>
      <w:r>
        <w:rPr>
          <w:rFonts w:hint="eastAsia" w:ascii="仿宋_GB2312" w:hAnsi="Times New Roman" w:eastAsia="仿宋_GB2312" w:cs="仿宋"/>
          <w:color w:val="000000"/>
          <w:sz w:val="32"/>
          <w:szCs w:val="32"/>
        </w:rPr>
        <w:t>2〕</w:t>
      </w:r>
      <w:r>
        <w:rPr>
          <w:rFonts w:ascii="仿宋_GB2312" w:hAnsi="Times New Roman" w:eastAsia="仿宋_GB2312" w:cs="仿宋"/>
          <w:color w:val="000000"/>
          <w:sz w:val="32"/>
          <w:szCs w:val="32"/>
        </w:rPr>
        <w:t>520</w:t>
      </w:r>
      <w:r>
        <w:rPr>
          <w:rFonts w:hint="eastAsia" w:ascii="仿宋_GB2312" w:hAnsi="Times New Roman" w:eastAsia="仿宋_GB2312" w:cs="仿宋"/>
          <w:color w:val="000000"/>
          <w:sz w:val="32"/>
          <w:szCs w:val="32"/>
        </w:rPr>
        <w:t>号），当事人未提出陈述申辩意见。</w:t>
      </w:r>
    </w:p>
    <w:p>
      <w:pPr>
        <w:snapToGrid w:val="0"/>
        <w:spacing w:line="540" w:lineRule="exact"/>
        <w:ind w:firstLine="640" w:firstLineChars="200"/>
        <w:rPr>
          <w:rFonts w:ascii="仿宋_GB2312" w:eastAsia="仿宋_GB2312"/>
          <w:sz w:val="32"/>
          <w:szCs w:val="32"/>
        </w:rPr>
      </w:pPr>
      <w:r>
        <w:rPr>
          <w:rFonts w:hint="eastAsia" w:ascii="仿宋_GB2312" w:hAnsi="Times New Roman" w:eastAsia="仿宋_GB2312" w:cs="仿宋"/>
          <w:bCs/>
          <w:color w:val="000000"/>
          <w:sz w:val="32"/>
          <w:szCs w:val="32"/>
        </w:rPr>
        <w:t>本局认为，</w:t>
      </w:r>
      <w:r>
        <w:rPr>
          <w:rFonts w:hint="eastAsia" w:ascii="仿宋_GB2312" w:eastAsia="仿宋_GB2312" w:cs="仿宋_GB2312"/>
          <w:sz w:val="32"/>
          <w:szCs w:val="32"/>
        </w:rPr>
        <w:t>当事人上述行为违反了</w:t>
      </w:r>
      <w:r>
        <w:rPr>
          <w:rFonts w:hint="eastAsia" w:ascii="仿宋_GB2312" w:hAnsi="仿宋" w:eastAsia="仿宋_GB2312"/>
          <w:sz w:val="32"/>
          <w:szCs w:val="32"/>
        </w:rPr>
        <w:t>《食品经营许可管理办法》第二十六条第一款“食品经营者应当妥善保管食品经营许可证，不得伪造、涂改、倒卖、出租、出借、转让。”的规定，依据《食品经营许可管理办法》第四十八条第一款“违反本办法第二十六条第一款规定，食品经营者伪造、涂改、倒卖、出租、出借、转让食品经营许可证的，由县级以上地方食品药品监督管理部门责令改正，给予警告，并处1万元以下罚款；情节严重的，处1万元以上3万元以下罚款。”的规定</w:t>
      </w:r>
      <w:r>
        <w:rPr>
          <w:rFonts w:hint="eastAsia" w:ascii="仿宋_GB2312" w:eastAsia="仿宋_GB2312"/>
          <w:sz w:val="32"/>
          <w:szCs w:val="32"/>
        </w:rPr>
        <w:t>，</w:t>
      </w:r>
      <w:r>
        <w:rPr>
          <w:rFonts w:hint="eastAsia" w:ascii="仿宋_GB2312" w:eastAsia="仿宋_GB2312"/>
          <w:bCs/>
          <w:sz w:val="32"/>
          <w:szCs w:val="32"/>
        </w:rPr>
        <w:t>对当事人进行行政</w:t>
      </w:r>
      <w:r>
        <w:rPr>
          <w:rFonts w:ascii="仿宋_GB2312" w:eastAsia="仿宋_GB2312"/>
          <w:bCs/>
          <w:sz w:val="32"/>
          <w:szCs w:val="32"/>
        </w:rPr>
        <w:t>处罚。</w:t>
      </w:r>
    </w:p>
    <w:p>
      <w:pPr>
        <w:snapToGrid w:val="0"/>
        <w:spacing w:line="540" w:lineRule="exact"/>
        <w:ind w:firstLine="640" w:firstLineChars="200"/>
        <w:rPr>
          <w:rFonts w:ascii="仿宋_GB2312" w:hAnsi="宋体" w:eastAsia="仿宋_GB2312" w:cs="宋体"/>
          <w:color w:val="212121"/>
          <w:kern w:val="0"/>
          <w:sz w:val="32"/>
          <w:szCs w:val="32"/>
        </w:rPr>
      </w:pPr>
      <w:r>
        <w:rPr>
          <w:rFonts w:hint="eastAsia" w:ascii="仿宋_GB2312" w:hAnsi="宋体" w:eastAsia="仿宋_GB2312" w:cs="宋体"/>
          <w:color w:val="212121"/>
          <w:kern w:val="0"/>
          <w:sz w:val="32"/>
          <w:szCs w:val="32"/>
        </w:rPr>
        <w:t>鉴于当事人属初次违法，</w:t>
      </w:r>
      <w:r>
        <w:rPr>
          <w:rFonts w:hint="eastAsia" w:ascii="仿宋_GB2312" w:hAnsi="仿宋" w:eastAsia="仿宋_GB2312"/>
          <w:color w:val="000000"/>
          <w:sz w:val="32"/>
          <w:szCs w:val="32"/>
        </w:rPr>
        <w:t>且</w:t>
      </w:r>
      <w:r>
        <w:rPr>
          <w:rStyle w:val="8"/>
          <w:rFonts w:hint="eastAsia" w:ascii="仿宋_GB2312" w:hAnsi="仿宋" w:eastAsia="仿宋_GB2312" w:cs="Arial"/>
          <w:i w:val="0"/>
          <w:iCs w:val="0"/>
          <w:sz w:val="32"/>
          <w:szCs w:val="32"/>
          <w:shd w:val="clear" w:color="auto" w:fill="FFFFFF"/>
        </w:rPr>
        <w:t>积极配合案件调查</w:t>
      </w:r>
      <w:r>
        <w:rPr>
          <w:rFonts w:hint="eastAsia" w:ascii="仿宋_GB2312" w:hAnsi="仿宋" w:eastAsia="仿宋_GB2312"/>
          <w:sz w:val="32"/>
          <w:szCs w:val="32"/>
        </w:rPr>
        <w:t>，依据</w:t>
      </w:r>
      <w:r>
        <w:rPr>
          <w:rFonts w:hint="eastAsia" w:ascii="仿宋_GB2312" w:hAnsi="宋体" w:eastAsia="仿宋_GB2312" w:cs="宋体"/>
          <w:color w:val="212121"/>
          <w:kern w:val="0"/>
          <w:sz w:val="32"/>
          <w:szCs w:val="32"/>
        </w:rPr>
        <w:t>《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w:t>
      </w:r>
      <w:r>
        <w:rPr>
          <w:rFonts w:hint="eastAsia" w:ascii="仿宋_GB2312" w:eastAsia="仿宋_GB2312" w:cs="仿宋_GB2312"/>
          <w:bCs/>
          <w:sz w:val="32"/>
          <w:szCs w:val="32"/>
        </w:rPr>
        <w:t>，予以从轻处罚。</w:t>
      </w:r>
    </w:p>
    <w:p>
      <w:pPr>
        <w:snapToGrid w:val="0"/>
        <w:spacing w:line="540" w:lineRule="exact"/>
        <w:ind w:firstLine="640" w:firstLineChars="200"/>
        <w:jc w:val="left"/>
        <w:rPr>
          <w:rFonts w:ascii="仿宋_GB2312" w:hAnsi="仿宋" w:eastAsia="仿宋_GB2312"/>
          <w:sz w:val="32"/>
          <w:szCs w:val="32"/>
        </w:rPr>
      </w:pPr>
      <w:r>
        <w:rPr>
          <w:rFonts w:hint="eastAsia" w:ascii="仿宋_GB2312" w:eastAsia="仿宋_GB2312"/>
          <w:bCs/>
          <w:sz w:val="32"/>
          <w:szCs w:val="32"/>
        </w:rPr>
        <w:t>综上</w:t>
      </w:r>
      <w:r>
        <w:rPr>
          <w:rFonts w:ascii="仿宋_GB2312" w:eastAsia="仿宋_GB2312"/>
          <w:bCs/>
          <w:sz w:val="32"/>
          <w:szCs w:val="32"/>
        </w:rPr>
        <w:t>，当事人上述行为违反了</w:t>
      </w:r>
      <w:r>
        <w:rPr>
          <w:rFonts w:hint="eastAsia" w:ascii="仿宋_GB2312" w:hAnsi="仿宋" w:eastAsia="仿宋_GB2312"/>
          <w:sz w:val="32"/>
          <w:szCs w:val="32"/>
        </w:rPr>
        <w:t>《食品经营许可管理办法》第二十六条第一款</w:t>
      </w:r>
      <w:r>
        <w:rPr>
          <w:rFonts w:hint="eastAsia" w:ascii="仿宋_GB2312" w:eastAsia="仿宋_GB2312"/>
          <w:bCs/>
          <w:sz w:val="32"/>
          <w:szCs w:val="32"/>
        </w:rPr>
        <w:t>的</w:t>
      </w:r>
      <w:r>
        <w:rPr>
          <w:rFonts w:ascii="仿宋_GB2312" w:eastAsia="仿宋_GB2312"/>
          <w:bCs/>
          <w:sz w:val="32"/>
          <w:szCs w:val="32"/>
        </w:rPr>
        <w:t>规定，依据</w:t>
      </w:r>
      <w:r>
        <w:rPr>
          <w:rFonts w:hint="eastAsia" w:ascii="仿宋_GB2312" w:hAnsi="仿宋" w:eastAsia="仿宋_GB2312"/>
          <w:sz w:val="32"/>
          <w:szCs w:val="32"/>
        </w:rPr>
        <w:t>《食品经营许可管理办法》第四十八条第一款</w:t>
      </w:r>
      <w:r>
        <w:rPr>
          <w:rFonts w:hint="eastAsia" w:ascii="仿宋_GB2312" w:eastAsia="仿宋_GB2312"/>
          <w:bCs/>
          <w:sz w:val="32"/>
          <w:szCs w:val="32"/>
        </w:rPr>
        <w:t>的</w:t>
      </w:r>
      <w:r>
        <w:rPr>
          <w:rFonts w:ascii="仿宋_GB2312" w:eastAsia="仿宋_GB2312"/>
          <w:bCs/>
          <w:sz w:val="32"/>
          <w:szCs w:val="32"/>
        </w:rPr>
        <w:t>规定，决定处罚如下：</w:t>
      </w:r>
      <w:r>
        <w:rPr>
          <w:rFonts w:hint="eastAsia" w:ascii="仿宋_GB2312" w:hAnsi="仿宋" w:eastAsia="仿宋_GB2312"/>
          <w:sz w:val="32"/>
          <w:szCs w:val="32"/>
        </w:rPr>
        <w:t>1.警告；2.罚款2000元。</w:t>
      </w:r>
    </w:p>
    <w:p>
      <w:pPr>
        <w:snapToGrid w:val="0"/>
        <w:spacing w:line="540" w:lineRule="exact"/>
        <w:ind w:firstLine="640" w:firstLineChars="200"/>
        <w:jc w:val="left"/>
        <w:rPr>
          <w:rFonts w:ascii="仿宋_GB2312" w:hAnsi="仿宋" w:eastAsia="仿宋_GB2312"/>
          <w:sz w:val="32"/>
          <w:szCs w:val="32"/>
        </w:rPr>
      </w:pPr>
      <w:r>
        <w:rPr>
          <w:rFonts w:hint="eastAsia" w:ascii="仿宋_GB2312" w:eastAsia="仿宋_GB2312" w:cs="仿宋_GB2312"/>
          <w:sz w:val="32"/>
          <w:szCs w:val="32"/>
        </w:rPr>
        <w:t>当事人应当自收到本行政处罚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或者通过电子支付系统缴纳。到期不缴纳罚款的，依据《中华人民共和国行政处罚法》第七十二条的规定，本局将每日按罚款数额的百分之三加处罚款，并依法申请人民法院强制执行。</w:t>
      </w:r>
    </w:p>
    <w:p>
      <w:pPr>
        <w:snapToGrid w:val="0"/>
        <w:spacing w:line="520" w:lineRule="exact"/>
        <w:ind w:firstLine="640" w:firstLineChars="200"/>
        <w:jc w:val="left"/>
        <w:rPr>
          <w:rFonts w:ascii="Times New Roman" w:hAnsi="Times New Roman" w:eastAsia="仿宋_GB2312" w:cs="仿宋"/>
          <w:color w:val="000000"/>
          <w:sz w:val="32"/>
          <w:szCs w:val="32"/>
        </w:rPr>
      </w:pPr>
      <w:r>
        <w:rPr>
          <w:rFonts w:hint="eastAsia" w:ascii="仿宋_GB2312" w:eastAsia="仿宋_GB2312" w:cs="仿宋_GB2312"/>
          <w:kern w:val="1"/>
          <w:sz w:val="32"/>
          <w:szCs w:val="32"/>
        </w:rPr>
        <w:t>如你</w:t>
      </w:r>
      <w:r>
        <w:rPr>
          <w:rFonts w:ascii="仿宋_GB2312" w:eastAsia="仿宋_GB2312" w:cs="仿宋_GB2312"/>
          <w:kern w:val="1"/>
          <w:sz w:val="32"/>
          <w:szCs w:val="32"/>
        </w:rPr>
        <w:t>（单位）</w:t>
      </w:r>
      <w:r>
        <w:rPr>
          <w:rFonts w:hint="eastAsia" w:ascii="仿宋_GB2312" w:eastAsia="仿宋_GB2312" w:cs="仿宋_GB2312"/>
          <w:kern w:val="1"/>
          <w:sz w:val="32"/>
          <w:szCs w:val="32"/>
        </w:rPr>
        <w:t>不服本行政处罚决定，可以在收到本行政处罚决定书之日起六十日内向天津市北辰区人民政府申请行政复议，也可以在六个月内依法向天津市北辰区人民法院提起行政诉讼。申请</w:t>
      </w:r>
      <w:r>
        <w:rPr>
          <w:rFonts w:ascii="仿宋_GB2312" w:eastAsia="仿宋_GB2312" w:cs="仿宋_GB2312"/>
          <w:kern w:val="1"/>
          <w:sz w:val="32"/>
          <w:szCs w:val="32"/>
        </w:rPr>
        <w:t>行政复议或者行政诉讼期间，行政处罚</w:t>
      </w:r>
      <w:r>
        <w:rPr>
          <w:rFonts w:hint="eastAsia" w:ascii="仿宋_GB2312" w:eastAsia="仿宋_GB2312" w:cs="仿宋_GB2312"/>
          <w:kern w:val="1"/>
          <w:sz w:val="32"/>
          <w:szCs w:val="32"/>
        </w:rPr>
        <w:t>不停止</w:t>
      </w:r>
      <w:r>
        <w:rPr>
          <w:rFonts w:ascii="仿宋_GB2312" w:eastAsia="仿宋_GB2312" w:cs="仿宋_GB2312"/>
          <w:kern w:val="1"/>
          <w:sz w:val="32"/>
          <w:szCs w:val="32"/>
        </w:rPr>
        <w:t>执行。</w:t>
      </w:r>
    </w:p>
    <w:p>
      <w:pPr>
        <w:spacing w:line="52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天津市北辰区市场监督管理局</w:t>
      </w:r>
    </w:p>
    <w:p>
      <w:pPr>
        <w:spacing w:line="52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bookmarkStart w:id="0" w:name="_GoBack"/>
      <w:bookmarkEnd w:id="0"/>
      <w:r>
        <w:rPr>
          <w:rFonts w:hint="eastAsia" w:ascii="Times New Roman" w:hAnsi="Times New Roman" w:eastAsia="仿宋_GB2312" w:cs="仿宋"/>
          <w:color w:val="000000"/>
          <w:sz w:val="32"/>
          <w:szCs w:val="32"/>
        </w:rPr>
        <w:t>202</w:t>
      </w:r>
      <w:r>
        <w:rPr>
          <w:rFonts w:ascii="Times New Roman" w:hAnsi="Times New Roman" w:eastAsia="仿宋_GB2312" w:cs="仿宋"/>
          <w:color w:val="000000"/>
          <w:sz w:val="32"/>
          <w:szCs w:val="32"/>
        </w:rPr>
        <w:t>2</w:t>
      </w:r>
      <w:r>
        <w:rPr>
          <w:rFonts w:hint="eastAsia" w:ascii="Times New Roman" w:hAnsi="Times New Roman" w:eastAsia="仿宋_GB2312" w:cs="仿宋"/>
          <w:color w:val="000000"/>
          <w:sz w:val="32"/>
          <w:szCs w:val="32"/>
        </w:rPr>
        <w:t>年</w:t>
      </w:r>
      <w:r>
        <w:rPr>
          <w:rFonts w:ascii="Times New Roman" w:hAnsi="Times New Roman" w:eastAsia="仿宋_GB2312" w:cs="仿宋"/>
          <w:color w:val="000000"/>
          <w:sz w:val="32"/>
          <w:szCs w:val="32"/>
        </w:rPr>
        <w:t>9</w:t>
      </w:r>
      <w:r>
        <w:rPr>
          <w:rFonts w:hint="eastAsia" w:ascii="Times New Roman" w:hAnsi="Times New Roman" w:eastAsia="仿宋_GB2312" w:cs="仿宋"/>
          <w:color w:val="000000"/>
          <w:sz w:val="32"/>
          <w:szCs w:val="32"/>
        </w:rPr>
        <w:t>月</w:t>
      </w:r>
      <w:r>
        <w:rPr>
          <w:rFonts w:ascii="Times New Roman" w:hAnsi="Times New Roman" w:eastAsia="仿宋_GB2312" w:cs="仿宋"/>
          <w:color w:val="000000"/>
          <w:sz w:val="32"/>
          <w:szCs w:val="32"/>
        </w:rPr>
        <w:t>8</w:t>
      </w:r>
      <w:r>
        <w:rPr>
          <w:rFonts w:hint="eastAsia" w:ascii="Times New Roman" w:hAnsi="Times New Roman" w:eastAsia="仿宋_GB2312" w:cs="仿宋"/>
          <w:color w:val="000000"/>
          <w:sz w:val="32"/>
          <w:szCs w:val="32"/>
        </w:rPr>
        <w:t>日</w:t>
      </w:r>
    </w:p>
    <w:p>
      <w:pPr>
        <w:spacing w:line="400" w:lineRule="exact"/>
        <w:jc w:val="center"/>
        <w:rPr>
          <w:rFonts w:ascii="Times New Roman" w:hAnsi="Times New Roman" w:eastAsia="仿宋_GB2312" w:cs="仿宋"/>
          <w:color w:val="000000"/>
          <w:sz w:val="32"/>
          <w:szCs w:val="32"/>
        </w:rPr>
      </w:pP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Arial">
    <w:altName w:val="Nimbus Roman No9 L"/>
    <w:panose1 w:val="020B0604020202020204"/>
    <w:charset w:val="00"/>
    <w:family w:val="swiss"/>
    <w:pitch w:val="default"/>
    <w:sig w:usb0="00000000" w:usb1="00000000" w:usb2="00000009" w:usb3="00000000" w:csb0="000001F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6B"/>
    <w:rsid w:val="00010958"/>
    <w:rsid w:val="00020BD6"/>
    <w:rsid w:val="00097BA3"/>
    <w:rsid w:val="000A2806"/>
    <w:rsid w:val="001067FF"/>
    <w:rsid w:val="001119AD"/>
    <w:rsid w:val="00195A3D"/>
    <w:rsid w:val="001B0F2D"/>
    <w:rsid w:val="001B64A7"/>
    <w:rsid w:val="001F3B37"/>
    <w:rsid w:val="002552CB"/>
    <w:rsid w:val="00255BAE"/>
    <w:rsid w:val="00297EAB"/>
    <w:rsid w:val="002B1236"/>
    <w:rsid w:val="002B66C1"/>
    <w:rsid w:val="002D46C7"/>
    <w:rsid w:val="00307A35"/>
    <w:rsid w:val="00375E5F"/>
    <w:rsid w:val="00384A91"/>
    <w:rsid w:val="00393B49"/>
    <w:rsid w:val="003A23E5"/>
    <w:rsid w:val="003C7A1D"/>
    <w:rsid w:val="003D10BE"/>
    <w:rsid w:val="003D1749"/>
    <w:rsid w:val="004236FF"/>
    <w:rsid w:val="00450382"/>
    <w:rsid w:val="004A5773"/>
    <w:rsid w:val="004B09E2"/>
    <w:rsid w:val="004B1E0A"/>
    <w:rsid w:val="004B1EF9"/>
    <w:rsid w:val="004D19B9"/>
    <w:rsid w:val="004F7283"/>
    <w:rsid w:val="00521F53"/>
    <w:rsid w:val="00523B7A"/>
    <w:rsid w:val="0058505C"/>
    <w:rsid w:val="00586CCA"/>
    <w:rsid w:val="005C27F7"/>
    <w:rsid w:val="00623D1C"/>
    <w:rsid w:val="00626739"/>
    <w:rsid w:val="006958BA"/>
    <w:rsid w:val="006E572E"/>
    <w:rsid w:val="006F10D0"/>
    <w:rsid w:val="007010B3"/>
    <w:rsid w:val="007637AB"/>
    <w:rsid w:val="007A0DBB"/>
    <w:rsid w:val="007A1B5A"/>
    <w:rsid w:val="007B1827"/>
    <w:rsid w:val="007D4379"/>
    <w:rsid w:val="007E44E6"/>
    <w:rsid w:val="00803295"/>
    <w:rsid w:val="008663BE"/>
    <w:rsid w:val="008C6FC3"/>
    <w:rsid w:val="008F7844"/>
    <w:rsid w:val="009324FF"/>
    <w:rsid w:val="009476ED"/>
    <w:rsid w:val="00976F1E"/>
    <w:rsid w:val="0098174B"/>
    <w:rsid w:val="009B267D"/>
    <w:rsid w:val="009F7C39"/>
    <w:rsid w:val="00A07B3D"/>
    <w:rsid w:val="00A258FE"/>
    <w:rsid w:val="00A32811"/>
    <w:rsid w:val="00A33977"/>
    <w:rsid w:val="00A36E1E"/>
    <w:rsid w:val="00A445D1"/>
    <w:rsid w:val="00A52E05"/>
    <w:rsid w:val="00AD65B9"/>
    <w:rsid w:val="00AF3AF4"/>
    <w:rsid w:val="00B00F88"/>
    <w:rsid w:val="00B022BE"/>
    <w:rsid w:val="00B05CDB"/>
    <w:rsid w:val="00B2711B"/>
    <w:rsid w:val="00B40C5E"/>
    <w:rsid w:val="00B61FB1"/>
    <w:rsid w:val="00B63EB5"/>
    <w:rsid w:val="00B80309"/>
    <w:rsid w:val="00B85D45"/>
    <w:rsid w:val="00B8791B"/>
    <w:rsid w:val="00BC11A5"/>
    <w:rsid w:val="00BC1B0E"/>
    <w:rsid w:val="00C65C29"/>
    <w:rsid w:val="00C849D8"/>
    <w:rsid w:val="00C8636B"/>
    <w:rsid w:val="00CC44E9"/>
    <w:rsid w:val="00CD58F2"/>
    <w:rsid w:val="00CD7ACC"/>
    <w:rsid w:val="00CE6F8A"/>
    <w:rsid w:val="00CF09B6"/>
    <w:rsid w:val="00D03002"/>
    <w:rsid w:val="00D0536B"/>
    <w:rsid w:val="00D40630"/>
    <w:rsid w:val="00D81A10"/>
    <w:rsid w:val="00DA11A1"/>
    <w:rsid w:val="00DB35A7"/>
    <w:rsid w:val="00DC077E"/>
    <w:rsid w:val="00E1192C"/>
    <w:rsid w:val="00E4042A"/>
    <w:rsid w:val="00E46E3C"/>
    <w:rsid w:val="00E97D7C"/>
    <w:rsid w:val="00EB4F57"/>
    <w:rsid w:val="00EC5188"/>
    <w:rsid w:val="00EC59C0"/>
    <w:rsid w:val="00EC77A9"/>
    <w:rsid w:val="00EE0C58"/>
    <w:rsid w:val="00F176A2"/>
    <w:rsid w:val="00F279CA"/>
    <w:rsid w:val="00F30103"/>
    <w:rsid w:val="00F76323"/>
    <w:rsid w:val="00F76F3F"/>
    <w:rsid w:val="00FC07D2"/>
    <w:rsid w:val="00FE262F"/>
    <w:rsid w:val="00FF7BAB"/>
    <w:rsid w:val="BCD94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Emphasis"/>
    <w:basedOn w:val="7"/>
    <w:qFormat/>
    <w:uiPriority w:val="0"/>
    <w:rPr>
      <w:i/>
      <w:i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271</Words>
  <Characters>1550</Characters>
  <Lines>12</Lines>
  <Paragraphs>3</Paragraphs>
  <TotalTime>2078</TotalTime>
  <ScaleCrop>false</ScaleCrop>
  <LinksUpToDate>false</LinksUpToDate>
  <CharactersWithSpaces>1818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2019-04-05T21:14:00Z</dcterms:created>
  <dc:creator>秦海龙</dc:creator>
  <cp:lastModifiedBy>greatwall</cp:lastModifiedBy>
  <cp:lastPrinted>2021-01-06T09:00:00Z</cp:lastPrinted>
  <dcterms:modified xsi:type="dcterms:W3CDTF">2022-09-08T17:19:11Z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