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ascii="方正小标宋简体" w:hAnsi="方正小标宋简体" w:eastAsia="方正小标宋简体" w:cs="方正小标宋简体"/>
          <w:sz w:val="44"/>
          <w:szCs w:val="44"/>
          <w:u w:val="none"/>
        </w:rPr>
      </w:pPr>
      <w:bookmarkStart w:id="0" w:name="_Toc76683363"/>
      <w:bookmarkStart w:id="1" w:name="_Toc27865"/>
      <w:r>
        <w:rPr>
          <w:rFonts w:hint="eastAsia" w:ascii="方正小标宋简体" w:hAnsi="方正小标宋简体" w:eastAsia="方正小标宋简体" w:cs="方正小标宋简体"/>
          <w:bCs/>
          <w:sz w:val="44"/>
          <w:szCs w:val="44"/>
          <w:u w:val="none"/>
        </w:rPr>
        <w:t>天津市北辰区市场监督管理局</w:t>
      </w:r>
      <w:bookmarkEnd w:id="0"/>
      <w:bookmarkEnd w:id="1"/>
    </w:p>
    <w:p>
      <w:pPr>
        <w:spacing w:line="560" w:lineRule="exact"/>
        <w:jc w:val="center"/>
        <w:outlineLvl w:val="0"/>
        <w:rPr>
          <w:rFonts w:ascii="Times New Roman" w:hAnsi="Times New Roman" w:eastAsia="方正小标宋简体" w:cs="Mongolian Baiti"/>
          <w:bCs/>
          <w:color w:val="000000"/>
          <w:sz w:val="44"/>
          <w:szCs w:val="44"/>
          <w:u w:val="none"/>
        </w:rPr>
      </w:pPr>
      <w:bookmarkStart w:id="2" w:name="_Toc76683364"/>
      <w:r>
        <w:rPr>
          <w:rFonts w:ascii="Times New Roman" w:hAnsi="Mongolian Baiti" w:eastAsia="方正小标宋简体" w:cs="Mongolian Baiti"/>
          <w:bCs/>
          <w:color w:val="000000"/>
          <w:sz w:val="44"/>
          <w:szCs w:val="44"/>
          <w:u w:val="none"/>
        </w:rPr>
        <w:t>行政处罚决定书</w:t>
      </w:r>
      <w:bookmarkEnd w:id="2"/>
    </w:p>
    <w:p>
      <w:pPr>
        <w:widowControl/>
        <w:snapToGrid w:val="0"/>
        <w:spacing w:line="560" w:lineRule="exact"/>
        <w:ind w:right="55"/>
        <w:jc w:val="center"/>
        <w:outlineLvl w:val="1"/>
        <w:rPr>
          <w:rFonts w:ascii="Times New Roman" w:hAnsi="Times New Roman" w:eastAsia="仿宋_GB2312" w:cs="Mongolian Baiti"/>
          <w:bCs/>
          <w:kern w:val="1"/>
          <w:sz w:val="32"/>
          <w:szCs w:val="32"/>
          <w:u w:val="none"/>
        </w:rPr>
      </w:pPr>
      <w:r>
        <w:rPr>
          <w:rFonts w:hint="eastAsia" w:ascii="Times New Roman" w:hAnsi="Times New Roman" w:eastAsia="仿宋_GB2312" w:cs="仿宋_GB2312"/>
          <w:bCs/>
          <w:color w:val="000000"/>
          <w:sz w:val="32"/>
          <w:szCs w:val="32"/>
          <w:u w:val="none"/>
        </w:rPr>
        <w:t>津辰</w:t>
      </w:r>
      <w:r>
        <w:rPr>
          <w:rFonts w:hint="eastAsia" w:ascii="Times New Roman" w:hAnsi="仿宋_GB2312" w:eastAsia="仿宋_GB2312" w:cs="仿宋_GB2312"/>
          <w:bCs/>
          <w:color w:val="000000"/>
          <w:sz w:val="32"/>
          <w:szCs w:val="32"/>
          <w:u w:val="none"/>
        </w:rPr>
        <w:t>市监处罚</w:t>
      </w:r>
      <w:r>
        <w:rPr>
          <w:rFonts w:hint="eastAsia" w:ascii="仿宋_GB2312" w:hAnsi="仿宋_GB2312" w:eastAsia="仿宋_GB2312" w:cs="仿宋_GB2312"/>
          <w:bCs/>
          <w:color w:val="000000"/>
          <w:sz w:val="32"/>
          <w:szCs w:val="32"/>
          <w:u w:val="none"/>
        </w:rPr>
        <w:t>〔202</w:t>
      </w:r>
      <w:r>
        <w:rPr>
          <w:rFonts w:hint="eastAsia" w:ascii="仿宋_GB2312" w:hAnsi="仿宋_GB2312" w:eastAsia="仿宋_GB2312" w:cs="仿宋_GB2312"/>
          <w:bCs/>
          <w:color w:val="000000"/>
          <w:sz w:val="32"/>
          <w:szCs w:val="32"/>
          <w:u w:val="none"/>
          <w:lang w:val="en-US" w:eastAsia="zh-CN"/>
        </w:rPr>
        <w:t>2</w:t>
      </w:r>
      <w:r>
        <w:rPr>
          <w:rFonts w:hint="eastAsia" w:ascii="仿宋_GB2312" w:hAnsi="仿宋_GB2312" w:eastAsia="仿宋_GB2312" w:cs="仿宋_GB2312"/>
          <w:bCs/>
          <w:color w:val="000000"/>
          <w:sz w:val="32"/>
          <w:szCs w:val="32"/>
          <w:u w:val="none"/>
        </w:rPr>
        <w:t>〕</w:t>
      </w:r>
      <w:r>
        <w:rPr>
          <w:rFonts w:hint="eastAsia" w:ascii="仿宋_GB2312" w:hAnsi="仿宋_GB2312" w:eastAsia="仿宋_GB2312" w:cs="仿宋_GB2312"/>
          <w:bCs/>
          <w:color w:val="000000"/>
          <w:sz w:val="32"/>
          <w:szCs w:val="32"/>
          <w:u w:val="none"/>
          <w:lang w:val="en-US" w:eastAsia="zh-CN"/>
        </w:rPr>
        <w:t>575</w:t>
      </w:r>
      <w:r>
        <w:rPr>
          <w:rFonts w:hint="eastAsia" w:ascii="仿宋_GB2312" w:hAnsi="仿宋_GB2312" w:eastAsia="仿宋_GB2312" w:cs="仿宋_GB2312"/>
          <w:bCs/>
          <w:color w:val="000000"/>
          <w:sz w:val="32"/>
          <w:szCs w:val="32"/>
          <w:u w:val="none"/>
        </w:rPr>
        <w:t>号</w:t>
      </w:r>
      <w:r>
        <w:rPr>
          <w:rFonts w:hint="eastAsia" w:ascii="Times New Roman" w:hAnsi="Times New Roman" w:eastAsia="仿宋_GB2312" w:cs="Mongolian Baiti"/>
          <w:bCs/>
          <w:kern w:val="1"/>
          <w:sz w:val="32"/>
          <w:szCs w:val="32"/>
          <w:u w:val="none"/>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11430" t="12700" r="17780" b="1587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cmpd="sng">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Cstb/WAAAADAEAAA8AAAAAAAAAAQAgAAAAOAAAAGRycy9kb3ducmV2LnhtbFBL&#10;AQIUABQAAAAIAIdO4kCpBQRh4gEAAH8DAAAOAAAAAAAAAAEAIAAAADsBAABkcnMvZTJvRG9jLnht&#10;bFBLBQYAAAAABgAGAFkBAACPBQAAAAA=&#10;">
                <v:fill on="f" focussize="0,0"/>
                <v:stroke weight="1.5pt" color="#000000" joinstyle="round"/>
                <v:imagedata o:title=""/>
                <o:lock v:ext="edit" aspectratio="f"/>
              </v:shape>
            </w:pict>
          </mc:Fallback>
        </mc:AlternateContent>
      </w:r>
    </w:p>
    <w:p>
      <w:pPr>
        <w:spacing w:line="560" w:lineRule="exact"/>
        <w:ind w:left="140" w:hanging="140"/>
        <w:rPr>
          <w:rFonts w:ascii="Times New Roman" w:hAnsi="Times New Roman" w:eastAsia="仿宋_GB2312" w:cs="Mongolian Baiti"/>
          <w:bCs/>
          <w:sz w:val="32"/>
          <w:szCs w:val="32"/>
          <w:u w:val="none"/>
        </w:rPr>
      </w:pPr>
      <w:r>
        <w:rPr>
          <w:rFonts w:hint="eastAsia" w:ascii="Times New Roman" w:hAnsi="Times New Roman" w:eastAsia="仿宋_GB2312" w:cs="Mongolian Baiti"/>
          <w:bCs/>
          <w:kern w:val="1"/>
          <w:sz w:val="32"/>
          <w:szCs w:val="32"/>
          <w:u w:val="none"/>
        </w:rPr>
        <w:t>当事人：</w:t>
      </w:r>
      <w:r>
        <w:rPr>
          <w:rFonts w:hint="eastAsia" w:ascii="仿宋_GB2312" w:hAnsi="Times New Roman" w:eastAsia="仿宋_GB2312" w:cs="仿宋_GB2312"/>
          <w:bCs/>
          <w:sz w:val="32"/>
          <w:szCs w:val="32"/>
          <w:u w:val="none"/>
          <w:lang w:eastAsia="zh-CN"/>
        </w:rPr>
        <w:t>天津市朋易来科技有限公司</w:t>
      </w:r>
      <w:r>
        <w:rPr>
          <w:rFonts w:hint="eastAsia" w:ascii="仿宋_GB2312" w:hAnsi="Times New Roman" w:eastAsia="仿宋_GB2312"/>
          <w:sz w:val="32"/>
          <w:szCs w:val="32"/>
          <w:u w:val="none"/>
        </w:rPr>
        <w:t xml:space="preserve">             </w:t>
      </w:r>
      <w:r>
        <w:rPr>
          <w:rFonts w:ascii="仿宋_GB2312" w:hAnsi="Times New Roman" w:eastAsia="仿宋_GB2312"/>
          <w:sz w:val="32"/>
          <w:szCs w:val="32"/>
          <w:u w:val="none"/>
        </w:rPr>
        <w:t xml:space="preserve">             </w:t>
      </w:r>
      <w:r>
        <w:rPr>
          <w:rFonts w:hint="eastAsia" w:ascii="仿宋_GB2312" w:hAnsi="Times New Roman" w:eastAsia="仿宋_GB2312"/>
          <w:sz w:val="32"/>
          <w:szCs w:val="32"/>
          <w:u w:val="none"/>
        </w:rPr>
        <w:t xml:space="preserve"> </w:t>
      </w:r>
      <w:r>
        <w:rPr>
          <w:rFonts w:hint="eastAsia" w:ascii="Times New Roman" w:hAnsi="Times New Roman" w:eastAsia="仿宋_GB2312" w:cs="Mongolian Baiti"/>
          <w:kern w:val="1"/>
          <w:sz w:val="32"/>
          <w:szCs w:val="32"/>
          <w:u w:val="none"/>
        </w:rPr>
        <w:t xml:space="preserve">   </w:t>
      </w:r>
    </w:p>
    <w:p>
      <w:pPr>
        <w:spacing w:line="560" w:lineRule="exact"/>
        <w:ind w:left="140" w:hanging="140"/>
        <w:rPr>
          <w:rFonts w:ascii="Times New Roman" w:hAnsi="Times New Roman" w:eastAsia="仿宋_GB2312" w:cs="Mongolian Baiti"/>
          <w:sz w:val="32"/>
          <w:szCs w:val="32"/>
          <w:u w:val="none"/>
        </w:rPr>
      </w:pPr>
      <w:r>
        <w:rPr>
          <w:rFonts w:hint="eastAsia" w:ascii="Times New Roman" w:hAnsi="Times New Roman" w:eastAsia="仿宋_GB2312" w:cs="微软雅黑"/>
          <w:bCs/>
          <w:kern w:val="1"/>
          <w:sz w:val="32"/>
          <w:szCs w:val="32"/>
          <w:u w:val="none"/>
        </w:rPr>
        <w:t>主体资格证照</w:t>
      </w:r>
      <w:r>
        <w:rPr>
          <w:rFonts w:hint="eastAsia" w:ascii="Times New Roman" w:hAnsi="Times New Roman" w:eastAsia="仿宋_GB2312" w:cs="Mongolian Baiti"/>
          <w:kern w:val="1"/>
          <w:sz w:val="32"/>
          <w:szCs w:val="32"/>
          <w:u w:val="none"/>
        </w:rPr>
        <w:t>名称：</w:t>
      </w:r>
      <w:r>
        <w:rPr>
          <w:rFonts w:hint="eastAsia" w:ascii="Times New Roman" w:hAnsi="Times New Roman" w:eastAsia="仿宋_GB2312" w:cs="Mongolian Baiti"/>
          <w:kern w:val="1"/>
          <w:sz w:val="32"/>
          <w:szCs w:val="32"/>
          <w:u w:val="none"/>
        </w:rPr>
        <w:t xml:space="preserve"> 营业执照                                     </w:t>
      </w:r>
    </w:p>
    <w:p>
      <w:pPr>
        <w:spacing w:line="560" w:lineRule="exact"/>
        <w:jc w:val="left"/>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统一社会信用代码：</w:t>
      </w:r>
      <w:r>
        <w:rPr>
          <w:rFonts w:hint="eastAsia" w:ascii="Times New Roman" w:hAnsi="Times New Roman" w:eastAsia="仿宋_GB2312" w:cs="Mongolian Baiti"/>
          <w:kern w:val="1"/>
          <w:sz w:val="32"/>
          <w:szCs w:val="32"/>
          <w:u w:val="none"/>
        </w:rPr>
        <w:t xml:space="preserve"> </w:t>
      </w:r>
      <w:r>
        <w:rPr>
          <w:rFonts w:hint="eastAsia" w:ascii="仿宋_GB2312" w:hAnsi="Times New Roman" w:eastAsia="仿宋_GB2312" w:cs="仿宋_GB2312"/>
          <w:bCs/>
          <w:sz w:val="32"/>
          <w:szCs w:val="32"/>
          <w:u w:val="none"/>
          <w:lang w:val="en-US" w:eastAsia="zh-CN"/>
        </w:rPr>
        <w:t>91120113052054924E</w:t>
      </w:r>
      <w:r>
        <w:rPr>
          <w:rFonts w:hint="eastAsia" w:ascii="Times New Roman" w:hAnsi="Times New Roman" w:eastAsia="仿宋_GB2312" w:cs="Mongolian Baiti"/>
          <w:kern w:val="1"/>
          <w:sz w:val="32"/>
          <w:szCs w:val="32"/>
          <w:u w:val="none"/>
        </w:rPr>
        <w:t xml:space="preserve">                                     </w:t>
      </w:r>
    </w:p>
    <w:p>
      <w:pPr>
        <w:spacing w:line="560" w:lineRule="exact"/>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住所（住址）：</w:t>
      </w:r>
      <w:r>
        <w:rPr>
          <w:rFonts w:hint="eastAsia" w:ascii="仿宋_GB2312" w:hAnsi="Times New Roman" w:eastAsia="仿宋_GB2312" w:cs="仿宋_GB2312"/>
          <w:bCs/>
          <w:sz w:val="32"/>
          <w:szCs w:val="32"/>
          <w:u w:val="none"/>
        </w:rPr>
        <w:t>天津市北辰区双街镇</w:t>
      </w:r>
      <w:r>
        <w:rPr>
          <w:rFonts w:hint="eastAsia" w:ascii="仿宋_GB2312" w:hAnsi="Times New Roman" w:eastAsia="仿宋_GB2312" w:cs="仿宋_GB2312"/>
          <w:bCs/>
          <w:sz w:val="32"/>
          <w:szCs w:val="32"/>
          <w:u w:val="none"/>
          <w:lang w:eastAsia="zh-CN"/>
        </w:rPr>
        <w:t>创富道</w:t>
      </w:r>
      <w:r>
        <w:rPr>
          <w:rFonts w:hint="eastAsia" w:ascii="仿宋_GB2312" w:hAnsi="Times New Roman" w:eastAsia="仿宋_GB2312" w:cs="仿宋_GB2312"/>
          <w:bCs/>
          <w:sz w:val="32"/>
          <w:szCs w:val="32"/>
          <w:u w:val="none"/>
          <w:lang w:val="en-US" w:eastAsia="zh-CN"/>
        </w:rPr>
        <w:t xml:space="preserve">1号                   </w:t>
      </w:r>
      <w:r>
        <w:rPr>
          <w:rFonts w:ascii="仿宋_GB2312" w:hAnsi="Times New Roman" w:eastAsia="仿宋_GB2312" w:cs="仿宋_GB2312"/>
          <w:bCs/>
          <w:sz w:val="32"/>
          <w:szCs w:val="32"/>
          <w:u w:val="none"/>
        </w:rPr>
        <w:t xml:space="preserve"> </w:t>
      </w:r>
    </w:p>
    <w:p>
      <w:pPr>
        <w:spacing w:line="560" w:lineRule="exact"/>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法定代表人（负责人、经营者）：</w:t>
      </w:r>
      <w:r>
        <w:rPr>
          <w:rFonts w:hint="eastAsia" w:ascii="仿宋_GB2312" w:hAnsi="Times New Roman" w:eastAsia="仿宋_GB2312" w:cs="Mongolian Baiti"/>
          <w:kern w:val="1"/>
          <w:sz w:val="32"/>
          <w:szCs w:val="32"/>
          <w:u w:val="none"/>
          <w:lang w:val="en-US" w:eastAsia="zh-CN"/>
        </w:rPr>
        <w:t xml:space="preserve"> </w:t>
      </w:r>
      <w:r>
        <w:rPr>
          <w:rFonts w:hint="eastAsia" w:ascii="仿宋_GB2312" w:hAnsi="Times New Roman" w:eastAsia="仿宋_GB2312" w:cs="仿宋_GB2312"/>
          <w:bCs/>
          <w:sz w:val="32"/>
          <w:szCs w:val="32"/>
          <w:u w:val="none"/>
          <w:lang w:eastAsia="zh-CN"/>
        </w:rPr>
        <w:t>许晓峰</w:t>
      </w:r>
      <w:r>
        <w:rPr>
          <w:rFonts w:hint="eastAsia" w:ascii="Times New Roman" w:hAnsi="Times New Roman" w:eastAsia="仿宋_GB2312" w:cs="Mongolian Baiti"/>
          <w:kern w:val="1"/>
          <w:sz w:val="32"/>
          <w:szCs w:val="32"/>
          <w:u w:val="none"/>
        </w:rPr>
        <w:t xml:space="preserve">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身份证件号码：</w:t>
      </w:r>
      <w:r>
        <w:rPr>
          <w:rFonts w:hint="eastAsia" w:ascii="Times New Roman" w:hAnsi="Times New Roman" w:eastAsia="仿宋_GB2312" w:cs="Mongolian Baiti"/>
          <w:kern w:val="1"/>
          <w:sz w:val="32"/>
          <w:szCs w:val="32"/>
          <w:u w:val="none"/>
          <w:lang w:val="en-US" w:eastAsia="zh-CN"/>
        </w:rPr>
        <w:t>/</w:t>
      </w:r>
      <w:r>
        <w:rPr>
          <w:rFonts w:hint="eastAsia" w:ascii="Times New Roman" w:hAnsi="Times New Roman" w:eastAsia="仿宋_GB2312" w:cs="Mongolian Baiti"/>
          <w:kern w:val="1"/>
          <w:sz w:val="32"/>
          <w:szCs w:val="32"/>
          <w:u w:val="none"/>
        </w:rPr>
        <w:t xml:space="preserve">                                  </w:t>
      </w:r>
    </w:p>
    <w:p>
      <w:pPr>
        <w:pStyle w:val="2"/>
        <w:tabs>
          <w:tab w:val="left" w:pos="8240"/>
        </w:tabs>
        <w:spacing w:line="560" w:lineRule="exact"/>
        <w:ind w:firstLine="640" w:firstLineChars="200"/>
        <w:jc w:val="both"/>
        <w:rPr>
          <w:rFonts w:ascii="仿宋_GB2312" w:eastAsia="仿宋_GB2312" w:cs="仿宋_GB2312"/>
          <w:kern w:val="1"/>
          <w:u w:val="none"/>
        </w:rPr>
      </w:pPr>
      <w:r>
        <w:rPr>
          <w:rFonts w:hint="eastAsia" w:ascii="仿宋_GB2312" w:hAnsi="仿宋_GB2312" w:eastAsia="仿宋_GB2312" w:cs="仿宋_GB2312"/>
          <w:sz w:val="32"/>
          <w:szCs w:val="32"/>
          <w:u w:val="none"/>
          <w:lang w:val="en-US" w:eastAsia="zh-CN"/>
        </w:rPr>
        <w:t>2022年7月18日，我局接到</w:t>
      </w:r>
      <w:r>
        <w:rPr>
          <w:rFonts w:hint="eastAsia" w:ascii="仿宋_GB2312" w:hAnsi="仿宋_GB2312" w:eastAsia="仿宋_GB2312" w:cs="仿宋_GB2312"/>
          <w:sz w:val="32"/>
          <w:szCs w:val="32"/>
          <w:u w:val="none"/>
          <w:lang w:eastAsia="zh-CN"/>
        </w:rPr>
        <w:t>宿迁市宿豫区市场监督管理局</w:t>
      </w:r>
      <w:r>
        <w:rPr>
          <w:rFonts w:hint="eastAsia" w:ascii="仿宋_GB2312" w:hAnsi="仿宋_GB2312" w:eastAsia="仿宋_GB2312" w:cs="仿宋_GB2312"/>
          <w:sz w:val="32"/>
          <w:szCs w:val="32"/>
          <w:u w:val="none"/>
          <w:lang w:val="en-US" w:eastAsia="zh-CN"/>
        </w:rPr>
        <w:t>邮寄的案件移送函（宿豫市监案移</w:t>
      </w:r>
      <w:r>
        <w:rPr>
          <w:rFonts w:hint="eastAsia" w:ascii="仿宋_GB2312" w:hAnsi="仿宋_GB2312" w:eastAsia="仿宋_GB2312" w:cs="仿宋_GB2312"/>
          <w:sz w:val="32"/>
          <w:szCs w:val="32"/>
          <w:u w:val="none"/>
        </w:rPr>
        <w:t>〔2022〕</w:t>
      </w:r>
      <w:r>
        <w:rPr>
          <w:rFonts w:hint="eastAsia" w:ascii="仿宋_GB2312" w:hAnsi="仿宋_GB2312" w:eastAsia="仿宋_GB2312" w:cs="仿宋_GB2312"/>
          <w:sz w:val="32"/>
          <w:szCs w:val="32"/>
          <w:u w:val="none"/>
          <w:lang w:val="en-US" w:eastAsia="zh-CN"/>
        </w:rPr>
        <w:t>10031号）及销售企业产品质量监督抽查抽样单和检验检测报告（2022）JD字WC类第0002号，报告显示</w:t>
      </w:r>
      <w:r>
        <w:rPr>
          <w:rFonts w:hint="eastAsia" w:ascii="仿宋_GB2312" w:hAnsi="仿宋_GB2312" w:eastAsia="仿宋_GB2312" w:cs="仿宋_GB2312"/>
          <w:sz w:val="32"/>
          <w:szCs w:val="32"/>
          <w:u w:val="none"/>
          <w:lang w:eastAsia="zh-CN"/>
        </w:rPr>
        <w:t>天津市朋易来科技有限公司</w:t>
      </w:r>
      <w:r>
        <w:rPr>
          <w:rFonts w:hint="eastAsia" w:ascii="仿宋_GB2312" w:hAnsi="仿宋_GB2312" w:eastAsia="仿宋_GB2312" w:cs="仿宋_GB2312"/>
          <w:sz w:val="32"/>
          <w:szCs w:val="32"/>
          <w:u w:val="none"/>
          <w:lang w:val="en-US" w:eastAsia="zh-CN"/>
        </w:rPr>
        <w:t>生产的生产日期为2021年12月21日、规格型号为酷航TDT1308Z的电动自行车在</w:t>
      </w:r>
      <w:r>
        <w:rPr>
          <w:rFonts w:hint="eastAsia" w:ascii="仿宋_GB2312" w:hAnsi="仿宋_GB2312" w:eastAsia="仿宋_GB2312" w:cs="仿宋_GB2312"/>
          <w:sz w:val="32"/>
          <w:szCs w:val="32"/>
          <w:u w:val="none"/>
          <w:lang w:eastAsia="zh-CN"/>
        </w:rPr>
        <w:t>宿迁市宿豫区市场监督管理局</w:t>
      </w:r>
      <w:r>
        <w:rPr>
          <w:rFonts w:hint="eastAsia" w:ascii="仿宋_GB2312" w:hAnsi="仿宋_GB2312" w:eastAsia="仿宋_GB2312" w:cs="仿宋_GB2312"/>
          <w:sz w:val="32"/>
          <w:szCs w:val="32"/>
          <w:u w:val="none"/>
          <w:lang w:val="en-US" w:eastAsia="zh-CN"/>
        </w:rPr>
        <w:t>组织的销售企业产品质量监督抽查中，经宿迁市产品质量检验所抽样检验，车速限值项目、整车质量项目和蓄电池防篡改项目不符合GB17761-2018《电动自行车安全技术规范》，检验结论为不合格。</w:t>
      </w:r>
      <w:r>
        <w:rPr>
          <w:rFonts w:hint="eastAsia" w:ascii="仿宋_GB2312" w:hAnsi="仿宋_GB2312" w:eastAsia="仿宋_GB2312" w:cs="仿宋_GB2312"/>
          <w:sz w:val="32"/>
          <w:szCs w:val="32"/>
          <w:u w:val="none"/>
        </w:rPr>
        <w:t>我局执法人员根据该检验报告内容于202</w:t>
      </w:r>
      <w:r>
        <w:rPr>
          <w:rFonts w:hint="eastAsia" w:ascii="仿宋_GB2312" w:hAnsi="仿宋_GB2312" w:eastAsia="仿宋_GB2312" w:cs="仿宋_GB2312"/>
          <w:sz w:val="32"/>
          <w:szCs w:val="32"/>
          <w:u w:val="none"/>
          <w:lang w:val="en-US" w:eastAsia="zh-CN"/>
        </w:rPr>
        <w:t>2</w:t>
      </w:r>
      <w:r>
        <w:rPr>
          <w:rFonts w:hint="eastAsia" w:ascii="仿宋_GB2312" w:hAnsi="仿宋_GB2312" w:eastAsia="仿宋_GB2312" w:cs="仿宋_GB2312"/>
          <w:sz w:val="32"/>
          <w:szCs w:val="32"/>
          <w:u w:val="none"/>
        </w:rPr>
        <w:t>年</w:t>
      </w:r>
      <w:r>
        <w:rPr>
          <w:rFonts w:hint="eastAsia" w:ascii="仿宋_GB2312" w:hAnsi="仿宋_GB2312" w:eastAsia="仿宋_GB2312" w:cs="仿宋_GB2312"/>
          <w:sz w:val="32"/>
          <w:szCs w:val="32"/>
          <w:u w:val="none"/>
          <w:lang w:val="en-US" w:eastAsia="zh-CN"/>
        </w:rPr>
        <w:t>7</w:t>
      </w:r>
      <w:r>
        <w:rPr>
          <w:rFonts w:hint="eastAsia" w:ascii="仿宋_GB2312" w:hAnsi="仿宋_GB2312" w:eastAsia="仿宋_GB2312" w:cs="仿宋_GB2312"/>
          <w:sz w:val="32"/>
          <w:szCs w:val="32"/>
          <w:u w:val="none"/>
        </w:rPr>
        <w:t>月</w:t>
      </w:r>
      <w:r>
        <w:rPr>
          <w:rFonts w:hint="eastAsia" w:ascii="仿宋_GB2312" w:hAnsi="仿宋_GB2312" w:eastAsia="仿宋_GB2312" w:cs="仿宋_GB2312"/>
          <w:sz w:val="32"/>
          <w:szCs w:val="32"/>
          <w:u w:val="none"/>
          <w:lang w:val="en-US" w:eastAsia="zh-CN"/>
        </w:rPr>
        <w:t>28</w:t>
      </w:r>
      <w:r>
        <w:rPr>
          <w:rFonts w:hint="eastAsia" w:ascii="仿宋_GB2312" w:hAnsi="仿宋_GB2312" w:eastAsia="仿宋_GB2312" w:cs="仿宋_GB2312"/>
          <w:sz w:val="32"/>
          <w:szCs w:val="32"/>
          <w:u w:val="none"/>
        </w:rPr>
        <w:t>日对当事人进行执法检查，当事人确认该批次抽检不合格产品为当事人生产，并对检验报告结果无异议</w:t>
      </w:r>
      <w:r>
        <w:rPr>
          <w:rFonts w:hint="eastAsia" w:ascii="仿宋_GB2312" w:eastAsia="仿宋_GB2312"/>
          <w:sz w:val="32"/>
          <w:szCs w:val="32"/>
          <w:u w:val="none"/>
        </w:rPr>
        <w:t>。在当事人库房未发现该批次不合格产品的存放，未采取行政强制措施。</w:t>
      </w:r>
      <w:r>
        <w:rPr>
          <w:rFonts w:hint="eastAsia" w:ascii="仿宋_GB2312" w:hAnsi="仿宋_GB2312" w:eastAsia="仿宋_GB2312" w:cs="仿宋_GB2312"/>
          <w:sz w:val="32"/>
          <w:szCs w:val="32"/>
          <w:u w:val="none"/>
        </w:rPr>
        <w:t>当事人因涉嫌生产</w:t>
      </w:r>
      <w:r>
        <w:rPr>
          <w:rFonts w:hint="eastAsia" w:ascii="仿宋_GB2312" w:hAnsi="仿宋_GB2312" w:eastAsia="仿宋_GB2312" w:cs="仿宋_GB2312"/>
          <w:sz w:val="32"/>
          <w:szCs w:val="32"/>
          <w:u w:val="none"/>
          <w:lang w:eastAsia="zh-CN"/>
        </w:rPr>
        <w:t>销售</w:t>
      </w:r>
      <w:r>
        <w:rPr>
          <w:rFonts w:hint="eastAsia" w:ascii="仿宋_GB2312" w:hAnsi="仿宋_GB2312" w:eastAsia="仿宋_GB2312" w:cs="仿宋_GB2312"/>
          <w:sz w:val="32"/>
          <w:szCs w:val="32"/>
          <w:u w:val="none"/>
        </w:rPr>
        <w:t>不符合保障人体健康和人身财产安全的国家标准的电动自行车行为</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2022年</w:t>
      </w:r>
      <w:r>
        <w:rPr>
          <w:rFonts w:hint="eastAsia" w:ascii="仿宋_GB2312" w:hAnsi="仿宋_GB2312" w:eastAsia="仿宋_GB2312" w:cs="仿宋_GB2312"/>
          <w:sz w:val="32"/>
          <w:szCs w:val="32"/>
          <w:u w:val="none"/>
          <w:lang w:val="en-US" w:eastAsia="zh-CN"/>
        </w:rPr>
        <w:t>7</w:t>
      </w:r>
      <w:r>
        <w:rPr>
          <w:rFonts w:hint="eastAsia" w:ascii="仿宋_GB2312" w:hAnsi="仿宋_GB2312" w:eastAsia="仿宋_GB2312" w:cs="仿宋_GB2312"/>
          <w:sz w:val="32"/>
          <w:szCs w:val="32"/>
          <w:u w:val="none"/>
        </w:rPr>
        <w:t>月</w:t>
      </w:r>
      <w:r>
        <w:rPr>
          <w:rFonts w:hint="eastAsia" w:ascii="仿宋_GB2312" w:hAnsi="仿宋_GB2312" w:eastAsia="仿宋_GB2312" w:cs="仿宋_GB2312"/>
          <w:sz w:val="32"/>
          <w:szCs w:val="32"/>
          <w:u w:val="none"/>
          <w:lang w:val="en-US" w:eastAsia="zh-CN"/>
        </w:rPr>
        <w:t>28</w:t>
      </w:r>
      <w:r>
        <w:rPr>
          <w:rFonts w:hint="eastAsia" w:ascii="仿宋_GB2312" w:hAnsi="仿宋_GB2312" w:eastAsia="仿宋_GB2312" w:cs="仿宋_GB2312"/>
          <w:sz w:val="32"/>
          <w:szCs w:val="32"/>
          <w:u w:val="none"/>
        </w:rPr>
        <w:t>日，执法人员报经局领导批准，予以立案调查</w:t>
      </w:r>
      <w:r>
        <w:rPr>
          <w:rFonts w:hint="eastAsia" w:ascii="仿宋_GB2312" w:hAnsi="仿宋_GB2312" w:eastAsia="仿宋_GB2312" w:cs="仿宋_GB2312"/>
          <w:kern w:val="1"/>
          <w:sz w:val="32"/>
          <w:szCs w:val="32"/>
          <w:u w:val="none"/>
        </w:rPr>
        <w:t>。</w:t>
      </w:r>
      <w:r>
        <w:rPr>
          <w:rFonts w:hint="eastAsia" w:ascii="仿宋_GB2312" w:eastAsia="仿宋_GB2312"/>
          <w:color w:val="auto"/>
          <w:sz w:val="32"/>
          <w:szCs w:val="32"/>
          <w:u w:val="none"/>
        </w:rPr>
        <w:t>在此案调查过程中</w:t>
      </w:r>
      <w:r>
        <w:rPr>
          <w:rFonts w:hint="eastAsia" w:ascii="仿宋_GB2312" w:eastAsia="仿宋_GB2312"/>
          <w:sz w:val="32"/>
          <w:szCs w:val="32"/>
          <w:u w:val="none"/>
        </w:rPr>
        <w:t>，2022年</w:t>
      </w:r>
      <w:r>
        <w:rPr>
          <w:rFonts w:hint="eastAsia" w:ascii="仿宋_GB2312" w:eastAsia="仿宋_GB2312"/>
          <w:sz w:val="32"/>
          <w:szCs w:val="32"/>
          <w:u w:val="none"/>
          <w:lang w:val="en-US" w:eastAsia="zh-CN"/>
        </w:rPr>
        <w:t>9</w:t>
      </w:r>
      <w:r>
        <w:rPr>
          <w:rFonts w:hint="eastAsia" w:ascii="仿宋_GB2312" w:eastAsia="仿宋_GB2312"/>
          <w:sz w:val="32"/>
          <w:szCs w:val="32"/>
          <w:u w:val="none"/>
        </w:rPr>
        <w:t>月</w:t>
      </w:r>
      <w:r>
        <w:rPr>
          <w:rFonts w:hint="eastAsia" w:ascii="仿宋_GB2312" w:eastAsia="仿宋_GB2312"/>
          <w:sz w:val="32"/>
          <w:szCs w:val="32"/>
          <w:u w:val="none"/>
          <w:lang w:val="en-US" w:eastAsia="zh-CN"/>
        </w:rPr>
        <w:t>2</w:t>
      </w:r>
      <w:r>
        <w:rPr>
          <w:rFonts w:hint="eastAsia" w:ascii="仿宋_GB2312" w:eastAsia="仿宋_GB2312"/>
          <w:sz w:val="32"/>
          <w:szCs w:val="32"/>
          <w:u w:val="none"/>
        </w:rPr>
        <w:t>日，我局接到天津市市场监督管理委员会发来的《案件线索移转通知》，所附的检验报告（报告编号：</w:t>
      </w:r>
      <w:r>
        <w:rPr>
          <w:rFonts w:hint="eastAsia" w:ascii="仿宋_GB2312" w:eastAsia="仿宋_GB2312"/>
          <w:sz w:val="32"/>
          <w:szCs w:val="32"/>
          <w:u w:val="none"/>
          <w:lang w:val="en-US" w:eastAsia="zh-CN"/>
        </w:rPr>
        <w:t>SC2021-C39-D14-L011A</w:t>
      </w:r>
      <w:r>
        <w:rPr>
          <w:rFonts w:hint="eastAsia" w:ascii="仿宋_GB2312" w:eastAsia="仿宋_GB2312"/>
          <w:sz w:val="32"/>
          <w:szCs w:val="32"/>
          <w:u w:val="none"/>
        </w:rPr>
        <w:t>）</w:t>
      </w:r>
      <w:r>
        <w:rPr>
          <w:rFonts w:hint="eastAsia" w:ascii="仿宋_GB2312" w:eastAsia="仿宋_GB2312"/>
          <w:sz w:val="32"/>
          <w:szCs w:val="32"/>
          <w:u w:val="none"/>
          <w:lang w:eastAsia="zh-CN"/>
        </w:rPr>
        <w:t>，</w:t>
      </w:r>
      <w:r>
        <w:rPr>
          <w:rFonts w:hint="eastAsia" w:ascii="仿宋_GB2312" w:hAnsi="仿宋_GB2312" w:eastAsia="仿宋_GB2312" w:cs="仿宋_GB2312"/>
          <w:sz w:val="32"/>
          <w:szCs w:val="32"/>
          <w:u w:val="none"/>
          <w:lang w:val="en-US" w:eastAsia="zh-CN"/>
        </w:rPr>
        <w:t>报告显示</w:t>
      </w:r>
      <w:r>
        <w:rPr>
          <w:rFonts w:hint="eastAsia" w:ascii="仿宋_GB2312" w:hAnsi="仿宋_GB2312" w:eastAsia="仿宋_GB2312" w:cs="仿宋_GB2312"/>
          <w:sz w:val="32"/>
          <w:szCs w:val="32"/>
          <w:u w:val="none"/>
          <w:lang w:eastAsia="zh-CN"/>
        </w:rPr>
        <w:t>天津市朋易来科技有限公司</w:t>
      </w:r>
      <w:r>
        <w:rPr>
          <w:rFonts w:hint="eastAsia" w:ascii="仿宋_GB2312" w:hAnsi="仿宋_GB2312" w:eastAsia="仿宋_GB2312" w:cs="仿宋_GB2312"/>
          <w:sz w:val="32"/>
          <w:szCs w:val="32"/>
          <w:u w:val="none"/>
          <w:lang w:val="en-US" w:eastAsia="zh-CN"/>
        </w:rPr>
        <w:t>2021年3月2日生产的规格型号为TDT1281Z的电动自行车在</w:t>
      </w:r>
      <w:r>
        <w:rPr>
          <w:rFonts w:hint="eastAsia" w:ascii="仿宋_GB2312" w:hAnsi="仿宋_GB2312" w:eastAsia="仿宋_GB2312" w:cs="仿宋_GB2312"/>
          <w:sz w:val="32"/>
          <w:szCs w:val="32"/>
          <w:u w:val="none"/>
          <w:lang w:eastAsia="zh-CN"/>
        </w:rPr>
        <w:t>北京市市场监督管理局</w:t>
      </w:r>
      <w:r>
        <w:rPr>
          <w:rFonts w:hint="eastAsia" w:ascii="仿宋_GB2312" w:hAnsi="仿宋_GB2312" w:eastAsia="仿宋_GB2312" w:cs="仿宋_GB2312"/>
          <w:sz w:val="32"/>
          <w:szCs w:val="32"/>
          <w:u w:val="none"/>
          <w:lang w:val="en-US" w:eastAsia="zh-CN"/>
        </w:rPr>
        <w:t>组织的产品质量监督抽查中，经国家汽车质量监督检验中心（北京顺义）抽样检验，铭牌、短路保护项目不符合GB17761-2018《电动自行车安全技术规范》标准，依据《2021年北京市非机动车（电动自行车）产品质量监督抽查实施细则》，检验结果为不合格。</w:t>
      </w:r>
      <w:r>
        <w:rPr>
          <w:rFonts w:hint="eastAsia" w:ascii="仿宋_GB2312" w:eastAsia="仿宋_GB2312"/>
          <w:sz w:val="32"/>
          <w:szCs w:val="32"/>
          <w:u w:val="none"/>
        </w:rPr>
        <w:t>我局执法人员根据该检验报告内容于2022年</w:t>
      </w:r>
      <w:r>
        <w:rPr>
          <w:rFonts w:hint="eastAsia" w:ascii="仿宋_GB2312" w:eastAsia="仿宋_GB2312"/>
          <w:sz w:val="32"/>
          <w:szCs w:val="32"/>
          <w:u w:val="none"/>
          <w:lang w:val="en-US" w:eastAsia="zh-CN"/>
        </w:rPr>
        <w:t>9</w:t>
      </w:r>
      <w:r>
        <w:rPr>
          <w:rFonts w:hint="eastAsia" w:ascii="仿宋_GB2312" w:eastAsia="仿宋_GB2312"/>
          <w:sz w:val="32"/>
          <w:szCs w:val="32"/>
          <w:u w:val="none"/>
        </w:rPr>
        <w:t>月</w:t>
      </w:r>
      <w:r>
        <w:rPr>
          <w:rFonts w:hint="eastAsia" w:ascii="仿宋_GB2312" w:eastAsia="仿宋_GB2312"/>
          <w:sz w:val="32"/>
          <w:szCs w:val="32"/>
          <w:u w:val="none"/>
          <w:lang w:val="en-US" w:eastAsia="zh-CN"/>
        </w:rPr>
        <w:t>14</w:t>
      </w:r>
      <w:r>
        <w:rPr>
          <w:rFonts w:hint="eastAsia" w:ascii="仿宋_GB2312" w:eastAsia="仿宋_GB2312"/>
          <w:sz w:val="32"/>
          <w:szCs w:val="32"/>
          <w:u w:val="none"/>
        </w:rPr>
        <w:t>日对当事人进行执法检查，当事人确认该批次抽检不合格产品为其生产，并对检验报告结果无异议。在当事人库房未发现该批次不合格产品的存放，未采取行政强制措施。当事人再次涉嫌生产销售不符合保障人体健康和人身财产安全的国家标</w:t>
      </w:r>
      <w:r>
        <w:rPr>
          <w:rFonts w:hint="eastAsia" w:ascii="仿宋_GB2312" w:hAnsi="仿宋_GB2312" w:eastAsia="仿宋_GB2312" w:cs="仿宋_GB2312"/>
          <w:sz w:val="32"/>
          <w:szCs w:val="32"/>
          <w:u w:val="none"/>
        </w:rPr>
        <w:t>准的电动自行车行为。经局领导审批，并案处理。</w:t>
      </w:r>
      <w:r>
        <w:rPr>
          <w:rFonts w:hint="eastAsia" w:ascii="仿宋_GB2312" w:hAnsi="Mongolian Baiti" w:eastAsia="仿宋_GB2312" w:cs="Mongolian Baiti"/>
          <w:kern w:val="1"/>
          <w:sz w:val="32"/>
          <w:szCs w:val="32"/>
          <w:u w:val="none"/>
        </w:rPr>
        <w:t>执法人员采取现场检查、收集相关书证等方式进行了调查</w:t>
      </w:r>
      <w:r>
        <w:rPr>
          <w:rFonts w:hint="eastAsia" w:ascii="仿宋_GB2312" w:eastAsia="仿宋_GB2312" w:cs="仿宋_GB2312"/>
          <w:kern w:val="1"/>
          <w:sz w:val="32"/>
          <w:szCs w:val="32"/>
          <w:u w:val="none"/>
        </w:rPr>
        <w:t>。</w:t>
      </w:r>
    </w:p>
    <w:p>
      <w:pPr>
        <w:pStyle w:val="2"/>
        <w:tabs>
          <w:tab w:val="left" w:pos="8240"/>
        </w:tabs>
        <w:spacing w:line="560" w:lineRule="exact"/>
        <w:ind w:firstLine="640" w:firstLineChars="200"/>
        <w:jc w:val="both"/>
        <w:rPr>
          <w:rFonts w:ascii="Times New Roman" w:eastAsia="仿宋_GB2312" w:cs="仿宋_GB2312"/>
          <w:color w:val="000000"/>
          <w:u w:val="none"/>
        </w:rPr>
      </w:pPr>
      <w:r>
        <w:rPr>
          <w:rFonts w:hint="eastAsia" w:ascii="Times New Roman" w:eastAsia="仿宋_GB2312" w:cs="Mongolian Baiti"/>
          <w:kern w:val="1"/>
          <w:u w:val="none"/>
        </w:rPr>
        <w:t>经查，</w:t>
      </w:r>
      <w:r>
        <w:rPr>
          <w:rFonts w:hint="eastAsia" w:ascii="仿宋_GB2312" w:hAnsi="仿宋_GB2312" w:eastAsia="仿宋_GB2312" w:cs="仿宋_GB2312"/>
          <w:sz w:val="32"/>
          <w:szCs w:val="32"/>
          <w:u w:val="none"/>
        </w:rPr>
        <w:t>当事人202</w:t>
      </w:r>
      <w:r>
        <w:rPr>
          <w:rFonts w:hint="eastAsia" w:ascii="仿宋_GB2312" w:hAnsi="仿宋_GB2312" w:eastAsia="仿宋_GB2312" w:cs="仿宋_GB2312"/>
          <w:sz w:val="32"/>
          <w:szCs w:val="32"/>
          <w:u w:val="none"/>
          <w:lang w:val="en-US" w:eastAsia="zh-CN"/>
        </w:rPr>
        <w:t>1</w:t>
      </w:r>
      <w:r>
        <w:rPr>
          <w:rFonts w:hint="eastAsia" w:ascii="仿宋_GB2312" w:hAnsi="仿宋_GB2312" w:eastAsia="仿宋_GB2312" w:cs="仿宋_GB2312"/>
          <w:sz w:val="32"/>
          <w:szCs w:val="32"/>
          <w:u w:val="none"/>
        </w:rPr>
        <w:t>年</w:t>
      </w:r>
      <w:r>
        <w:rPr>
          <w:rFonts w:hint="eastAsia" w:ascii="仿宋_GB2312" w:hAnsi="仿宋_GB2312" w:eastAsia="仿宋_GB2312" w:cs="仿宋_GB2312"/>
          <w:sz w:val="32"/>
          <w:szCs w:val="32"/>
          <w:u w:val="none"/>
          <w:lang w:val="en-US" w:eastAsia="zh-CN"/>
        </w:rPr>
        <w:t>12</w:t>
      </w:r>
      <w:r>
        <w:rPr>
          <w:rFonts w:hint="eastAsia" w:ascii="仿宋_GB2312" w:hAnsi="仿宋_GB2312" w:eastAsia="仿宋_GB2312" w:cs="仿宋_GB2312"/>
          <w:sz w:val="32"/>
          <w:szCs w:val="32"/>
          <w:u w:val="none"/>
        </w:rPr>
        <w:t>月</w:t>
      </w:r>
      <w:r>
        <w:rPr>
          <w:rFonts w:hint="eastAsia" w:ascii="仿宋_GB2312" w:hAnsi="仿宋_GB2312" w:eastAsia="仿宋_GB2312" w:cs="仿宋_GB2312"/>
          <w:sz w:val="32"/>
          <w:szCs w:val="32"/>
          <w:u w:val="none"/>
          <w:lang w:val="en-US" w:eastAsia="zh-CN"/>
        </w:rPr>
        <w:t>21</w:t>
      </w:r>
      <w:r>
        <w:rPr>
          <w:rFonts w:hint="eastAsia" w:ascii="仿宋_GB2312" w:hAnsi="仿宋_GB2312" w:eastAsia="仿宋_GB2312" w:cs="仿宋_GB2312"/>
          <w:sz w:val="32"/>
          <w:szCs w:val="32"/>
          <w:u w:val="none"/>
        </w:rPr>
        <w:t>日生产</w:t>
      </w:r>
      <w:r>
        <w:rPr>
          <w:rFonts w:hint="eastAsia" w:ascii="仿宋_GB2312" w:hAnsi="仿宋_GB2312" w:eastAsia="仿宋_GB2312" w:cs="仿宋_GB2312"/>
          <w:sz w:val="32"/>
          <w:szCs w:val="32"/>
          <w:u w:val="none"/>
          <w:lang w:val="en-US" w:eastAsia="zh-CN"/>
        </w:rPr>
        <w:t>并销往宿城区日利达车业经营部的</w:t>
      </w:r>
      <w:r>
        <w:rPr>
          <w:rFonts w:hint="eastAsia" w:ascii="仿宋_GB2312" w:hAnsi="仿宋_GB2312" w:eastAsia="仿宋_GB2312" w:cs="仿宋_GB2312"/>
          <w:sz w:val="32"/>
          <w:szCs w:val="32"/>
          <w:u w:val="none"/>
        </w:rPr>
        <w:t>规格型号为</w:t>
      </w:r>
      <w:r>
        <w:rPr>
          <w:rFonts w:hint="eastAsia" w:ascii="仿宋_GB2312" w:hAnsi="仿宋_GB2312" w:eastAsia="仿宋_GB2312" w:cs="仿宋_GB2312"/>
          <w:sz w:val="32"/>
          <w:szCs w:val="32"/>
          <w:u w:val="none"/>
          <w:lang w:eastAsia="zh-CN"/>
        </w:rPr>
        <w:t>酷航</w:t>
      </w:r>
      <w:r>
        <w:rPr>
          <w:rFonts w:hint="eastAsia" w:ascii="仿宋_GB2312" w:hAnsi="仿宋_GB2312" w:eastAsia="仿宋_GB2312" w:cs="仿宋_GB2312"/>
          <w:sz w:val="32"/>
          <w:szCs w:val="32"/>
          <w:u w:val="none"/>
          <w:lang w:val="en-US" w:eastAsia="zh-CN"/>
        </w:rPr>
        <w:t>TDT1308Z</w:t>
      </w:r>
      <w:r>
        <w:rPr>
          <w:rFonts w:hint="eastAsia" w:ascii="仿宋_GB2312" w:hAnsi="仿宋_GB2312" w:eastAsia="仿宋_GB2312" w:cs="仿宋_GB2312"/>
          <w:sz w:val="32"/>
          <w:szCs w:val="32"/>
          <w:u w:val="none"/>
        </w:rPr>
        <w:t>的电动自行车</w:t>
      </w:r>
      <w:r>
        <w:rPr>
          <w:rFonts w:hint="eastAsia" w:ascii="仿宋_GB2312" w:hAnsi="仿宋_GB2312" w:eastAsia="仿宋_GB2312" w:cs="仿宋_GB2312"/>
          <w:sz w:val="32"/>
          <w:szCs w:val="32"/>
          <w:u w:val="none"/>
          <w:lang w:val="en-US" w:eastAsia="zh-CN"/>
        </w:rPr>
        <w:t>在</w:t>
      </w:r>
      <w:r>
        <w:rPr>
          <w:rFonts w:hint="eastAsia" w:ascii="仿宋_GB2312" w:hAnsi="仿宋_GB2312" w:eastAsia="仿宋_GB2312" w:cs="仿宋_GB2312"/>
          <w:sz w:val="32"/>
          <w:szCs w:val="32"/>
          <w:u w:val="none"/>
          <w:lang w:eastAsia="zh-CN"/>
        </w:rPr>
        <w:t>宿迁市宿豫区市场监督管理局</w:t>
      </w:r>
      <w:r>
        <w:rPr>
          <w:rFonts w:hint="eastAsia" w:ascii="仿宋_GB2312" w:hAnsi="仿宋_GB2312" w:eastAsia="仿宋_GB2312" w:cs="仿宋_GB2312"/>
          <w:sz w:val="32"/>
          <w:szCs w:val="32"/>
          <w:u w:val="none"/>
          <w:lang w:val="en-US" w:eastAsia="zh-CN"/>
        </w:rPr>
        <w:t>组织的销售企业产品质量监督抽查中，经宿迁市产品质量检验所抽样检验，车速限值项目、整车质量项目和蓄电池防篡改项目不符合GB17761-2018《电动自行车安全技术规范》，检验结论为不合格；2021年3月2日生产并销往北京捷瑞丰电动车商行的规格型号为TDT1281Z的电动自行车在</w:t>
      </w:r>
      <w:r>
        <w:rPr>
          <w:rFonts w:hint="eastAsia" w:ascii="仿宋_GB2312" w:hAnsi="仿宋_GB2312" w:eastAsia="仿宋_GB2312" w:cs="仿宋_GB2312"/>
          <w:sz w:val="32"/>
          <w:szCs w:val="32"/>
          <w:u w:val="none"/>
          <w:lang w:eastAsia="zh-CN"/>
        </w:rPr>
        <w:t>北京市市场监督管理局</w:t>
      </w:r>
      <w:r>
        <w:rPr>
          <w:rFonts w:hint="eastAsia" w:ascii="仿宋_GB2312" w:hAnsi="仿宋_GB2312" w:eastAsia="仿宋_GB2312" w:cs="仿宋_GB2312"/>
          <w:sz w:val="32"/>
          <w:szCs w:val="32"/>
          <w:u w:val="none"/>
          <w:lang w:val="en-US" w:eastAsia="zh-CN"/>
        </w:rPr>
        <w:t>组织的产品质量监督抽查中，经国家汽车质量监督检验中心（北京顺义）抽样检验，铭牌、短路保护项目不符合GB17761-2018《电动自行车安全技术规范》标准，依据《2021年北京市非机动车（电动自行车）产品质量监督抽查实施细则》，检验结果为不合格。</w:t>
      </w:r>
      <w:r>
        <w:rPr>
          <w:rFonts w:hint="eastAsia" w:ascii="仿宋_GB2312" w:hAnsi="仿宋_GB2312" w:eastAsia="仿宋_GB2312" w:cs="仿宋_GB2312"/>
          <w:sz w:val="32"/>
          <w:szCs w:val="32"/>
          <w:u w:val="none"/>
        </w:rPr>
        <w:t>当事人对上述检验结果无异议，在复检期内</w:t>
      </w:r>
      <w:r>
        <w:rPr>
          <w:rFonts w:hint="eastAsia" w:ascii="仿宋_GB2312" w:hAnsi="仿宋_GB2312" w:eastAsia="仿宋_GB2312" w:cs="仿宋_GB2312"/>
          <w:sz w:val="32"/>
          <w:szCs w:val="32"/>
          <w:u w:val="none"/>
          <w:lang w:eastAsia="zh-CN"/>
        </w:rPr>
        <w:t>未提出复检申请</w:t>
      </w:r>
      <w:r>
        <w:rPr>
          <w:rFonts w:hint="eastAsia" w:ascii="仿宋_GB2312" w:hAnsi="仿宋_GB2312" w:eastAsia="仿宋_GB2312" w:cs="仿宋_GB2312"/>
          <w:sz w:val="32"/>
          <w:szCs w:val="32"/>
          <w:u w:val="none"/>
        </w:rPr>
        <w:t>。上述行为满足生产</w:t>
      </w:r>
      <w:r>
        <w:rPr>
          <w:rFonts w:hint="eastAsia" w:ascii="仿宋_GB2312" w:hAnsi="仿宋_GB2312" w:eastAsia="仿宋_GB2312" w:cs="仿宋_GB2312"/>
          <w:sz w:val="32"/>
          <w:szCs w:val="32"/>
          <w:u w:val="none"/>
          <w:lang w:val="en-US" w:eastAsia="zh-CN"/>
        </w:rPr>
        <w:t>销售</w:t>
      </w:r>
      <w:r>
        <w:rPr>
          <w:rFonts w:hint="eastAsia" w:ascii="仿宋_GB2312" w:hAnsi="仿宋_GB2312" w:eastAsia="仿宋_GB2312" w:cs="仿宋_GB2312"/>
          <w:sz w:val="32"/>
          <w:szCs w:val="32"/>
          <w:u w:val="none"/>
        </w:rPr>
        <w:t>不符合保障人体健康和人身财产安全的国家标准的电动自行车行为的构成要件。</w:t>
      </w:r>
      <w:r>
        <w:rPr>
          <w:rFonts w:hint="eastAsia" w:ascii="仿宋_GB2312" w:hAnsi="仿宋_GB2312" w:eastAsia="仿宋_GB2312" w:cs="仿宋_GB2312"/>
          <w:color w:val="auto"/>
          <w:sz w:val="32"/>
          <w:szCs w:val="32"/>
          <w:u w:val="none"/>
        </w:rPr>
        <w:t>当事人</w:t>
      </w:r>
      <w:r>
        <w:rPr>
          <w:rFonts w:hint="eastAsia" w:ascii="仿宋_GB2312" w:hAnsi="仿宋_GB2312" w:eastAsia="仿宋_GB2312" w:cs="仿宋_GB2312"/>
          <w:color w:val="auto"/>
          <w:sz w:val="32"/>
          <w:szCs w:val="32"/>
          <w:u w:val="none"/>
          <w:lang w:eastAsia="zh-CN"/>
        </w:rPr>
        <w:t>生产</w:t>
      </w:r>
      <w:r>
        <w:rPr>
          <w:rFonts w:hint="eastAsia" w:ascii="仿宋_GB2312" w:hAnsi="仿宋_GB2312" w:eastAsia="仿宋_GB2312" w:cs="仿宋_GB2312"/>
          <w:color w:val="auto"/>
          <w:sz w:val="32"/>
          <w:szCs w:val="32"/>
          <w:u w:val="none"/>
        </w:rPr>
        <w:t>上述</w:t>
      </w:r>
      <w:r>
        <w:rPr>
          <w:rFonts w:hint="eastAsia" w:ascii="仿宋_GB2312" w:hAnsi="仿宋_GB2312" w:eastAsia="仿宋_GB2312" w:cs="仿宋_GB2312"/>
          <w:color w:val="auto"/>
          <w:sz w:val="32"/>
          <w:szCs w:val="32"/>
          <w:u w:val="none"/>
          <w:lang w:eastAsia="zh-CN"/>
        </w:rPr>
        <w:t>批次</w:t>
      </w:r>
      <w:r>
        <w:rPr>
          <w:rFonts w:hint="eastAsia" w:ascii="仿宋_GB2312" w:hAnsi="仿宋_GB2312" w:eastAsia="仿宋_GB2312" w:cs="仿宋_GB2312"/>
          <w:sz w:val="32"/>
          <w:szCs w:val="32"/>
          <w:u w:val="none"/>
          <w:lang w:val="en-US" w:eastAsia="zh-CN"/>
        </w:rPr>
        <w:t>酷航TDT1308Z</w:t>
      </w:r>
      <w:r>
        <w:rPr>
          <w:rFonts w:hint="eastAsia" w:ascii="仿宋_GB2312" w:hAnsi="仿宋_GB2312" w:eastAsia="仿宋_GB2312" w:cs="仿宋_GB2312"/>
          <w:color w:val="auto"/>
          <w:sz w:val="32"/>
          <w:szCs w:val="32"/>
          <w:u w:val="none"/>
        </w:rPr>
        <w:t>电动自行车</w:t>
      </w:r>
      <w:r>
        <w:rPr>
          <w:rFonts w:hint="eastAsia" w:ascii="仿宋_GB2312" w:hAnsi="仿宋_GB2312" w:eastAsia="仿宋_GB2312" w:cs="仿宋_GB2312"/>
          <w:color w:val="auto"/>
          <w:sz w:val="32"/>
          <w:szCs w:val="32"/>
          <w:u w:val="none"/>
          <w:lang w:val="en-US" w:eastAsia="zh-CN"/>
        </w:rPr>
        <w:t>4</w:t>
      </w:r>
      <w:r>
        <w:rPr>
          <w:rFonts w:hint="eastAsia" w:ascii="仿宋_GB2312" w:hAnsi="仿宋_GB2312" w:eastAsia="仿宋_GB2312" w:cs="仿宋_GB2312"/>
          <w:color w:val="auto"/>
          <w:sz w:val="32"/>
          <w:szCs w:val="32"/>
          <w:u w:val="none"/>
        </w:rPr>
        <w:t>辆，</w:t>
      </w:r>
      <w:r>
        <w:rPr>
          <w:rFonts w:hint="eastAsia" w:ascii="仿宋_GB2312" w:hAnsi="仿宋_GB2312" w:eastAsia="仿宋_GB2312" w:cs="仿宋_GB2312"/>
          <w:color w:val="auto"/>
          <w:sz w:val="32"/>
          <w:szCs w:val="32"/>
          <w:u w:val="none"/>
          <w:lang w:val="en-US" w:eastAsia="zh-CN"/>
        </w:rPr>
        <w:t>已</w:t>
      </w:r>
      <w:r>
        <w:rPr>
          <w:rFonts w:hint="eastAsia" w:ascii="仿宋_GB2312" w:hAnsi="仿宋_GB2312" w:eastAsia="仿宋_GB2312" w:cs="仿宋_GB2312"/>
          <w:color w:val="auto"/>
          <w:sz w:val="32"/>
          <w:szCs w:val="32"/>
          <w:u w:val="none"/>
        </w:rPr>
        <w:t>销售</w:t>
      </w:r>
      <w:r>
        <w:rPr>
          <w:rFonts w:hint="eastAsia" w:ascii="仿宋_GB2312" w:hAnsi="仿宋_GB2312" w:eastAsia="仿宋_GB2312" w:cs="仿宋_GB2312"/>
          <w:color w:val="auto"/>
          <w:sz w:val="32"/>
          <w:szCs w:val="32"/>
          <w:u w:val="none"/>
          <w:lang w:val="en-US" w:eastAsia="zh-CN"/>
        </w:rPr>
        <w:t>1</w:t>
      </w:r>
      <w:r>
        <w:rPr>
          <w:rFonts w:hint="eastAsia" w:ascii="仿宋_GB2312" w:hAnsi="仿宋_GB2312" w:eastAsia="仿宋_GB2312" w:cs="仿宋_GB2312"/>
          <w:color w:val="auto"/>
          <w:sz w:val="32"/>
          <w:szCs w:val="32"/>
          <w:u w:val="none"/>
        </w:rPr>
        <w:t>辆</w:t>
      </w:r>
      <w:r>
        <w:rPr>
          <w:rFonts w:hint="eastAsia" w:ascii="仿宋_GB2312" w:hAnsi="仿宋_GB2312" w:eastAsia="仿宋_GB2312" w:cs="仿宋_GB2312"/>
          <w:color w:val="auto"/>
          <w:sz w:val="32"/>
          <w:szCs w:val="32"/>
          <w:u w:val="none"/>
          <w:lang w:eastAsia="zh-CN"/>
        </w:rPr>
        <w:t>，召回</w:t>
      </w:r>
      <w:r>
        <w:rPr>
          <w:rFonts w:hint="eastAsia" w:ascii="仿宋_GB2312" w:hAnsi="仿宋_GB2312" w:eastAsia="仿宋_GB2312" w:cs="仿宋_GB2312"/>
          <w:color w:val="auto"/>
          <w:sz w:val="32"/>
          <w:szCs w:val="32"/>
          <w:u w:val="none"/>
          <w:lang w:val="en-US" w:eastAsia="zh-CN"/>
        </w:rPr>
        <w:t>3辆；</w:t>
      </w:r>
      <w:r>
        <w:rPr>
          <w:rFonts w:hint="eastAsia" w:ascii="仿宋_GB2312" w:hAnsi="仿宋_GB2312" w:eastAsia="仿宋_GB2312" w:cs="仿宋_GB2312"/>
          <w:sz w:val="32"/>
          <w:szCs w:val="32"/>
          <w:u w:val="none"/>
          <w:lang w:val="en-US" w:eastAsia="zh-CN"/>
        </w:rPr>
        <w:t>TDT1281Z</w:t>
      </w:r>
      <w:r>
        <w:rPr>
          <w:rFonts w:hint="eastAsia" w:ascii="仿宋_GB2312" w:hAnsi="仿宋_GB2312" w:eastAsia="仿宋_GB2312" w:cs="仿宋_GB2312"/>
          <w:color w:val="auto"/>
          <w:sz w:val="32"/>
          <w:szCs w:val="32"/>
          <w:u w:val="none"/>
        </w:rPr>
        <w:t>电动自行车</w:t>
      </w:r>
      <w:r>
        <w:rPr>
          <w:rFonts w:hint="eastAsia" w:ascii="仿宋_GB2312" w:hAnsi="仿宋_GB2312" w:eastAsia="仿宋_GB2312" w:cs="仿宋_GB2312"/>
          <w:color w:val="auto"/>
          <w:sz w:val="32"/>
          <w:szCs w:val="32"/>
          <w:u w:val="none"/>
          <w:lang w:val="en-US" w:eastAsia="zh-CN"/>
        </w:rPr>
        <w:t>6</w:t>
      </w:r>
      <w:r>
        <w:rPr>
          <w:rFonts w:hint="eastAsia" w:ascii="仿宋_GB2312" w:hAnsi="仿宋_GB2312" w:eastAsia="仿宋_GB2312" w:cs="仿宋_GB2312"/>
          <w:color w:val="auto"/>
          <w:sz w:val="32"/>
          <w:szCs w:val="32"/>
          <w:u w:val="none"/>
        </w:rPr>
        <w:t>辆，</w:t>
      </w:r>
      <w:r>
        <w:rPr>
          <w:rFonts w:hint="eastAsia" w:ascii="仿宋_GB2312" w:hAnsi="仿宋_GB2312" w:eastAsia="仿宋_GB2312" w:cs="仿宋_GB2312"/>
          <w:color w:val="auto"/>
          <w:sz w:val="32"/>
          <w:szCs w:val="32"/>
          <w:u w:val="none"/>
          <w:lang w:val="en-US" w:eastAsia="zh-CN"/>
        </w:rPr>
        <w:t>已</w:t>
      </w:r>
      <w:r>
        <w:rPr>
          <w:rFonts w:hint="eastAsia" w:ascii="仿宋_GB2312" w:hAnsi="仿宋_GB2312" w:eastAsia="仿宋_GB2312" w:cs="仿宋_GB2312"/>
          <w:color w:val="auto"/>
          <w:sz w:val="32"/>
          <w:szCs w:val="32"/>
          <w:u w:val="none"/>
        </w:rPr>
        <w:t>销售</w:t>
      </w:r>
      <w:r>
        <w:rPr>
          <w:rFonts w:hint="eastAsia" w:ascii="仿宋_GB2312" w:hAnsi="仿宋_GB2312" w:eastAsia="仿宋_GB2312" w:cs="仿宋_GB2312"/>
          <w:color w:val="auto"/>
          <w:sz w:val="32"/>
          <w:szCs w:val="32"/>
          <w:u w:val="none"/>
          <w:lang w:val="en-US" w:eastAsia="zh-CN"/>
        </w:rPr>
        <w:t>2</w:t>
      </w:r>
      <w:r>
        <w:rPr>
          <w:rFonts w:hint="eastAsia" w:ascii="仿宋_GB2312" w:hAnsi="仿宋_GB2312" w:eastAsia="仿宋_GB2312" w:cs="仿宋_GB2312"/>
          <w:color w:val="auto"/>
          <w:sz w:val="32"/>
          <w:szCs w:val="32"/>
          <w:u w:val="none"/>
        </w:rPr>
        <w:t>辆</w:t>
      </w:r>
      <w:r>
        <w:rPr>
          <w:rFonts w:hint="eastAsia" w:ascii="仿宋_GB2312" w:hAnsi="仿宋_GB2312" w:eastAsia="仿宋_GB2312" w:cs="仿宋_GB2312"/>
          <w:color w:val="auto"/>
          <w:sz w:val="32"/>
          <w:szCs w:val="32"/>
          <w:u w:val="none"/>
          <w:lang w:eastAsia="zh-CN"/>
        </w:rPr>
        <w:t>，召回</w:t>
      </w:r>
      <w:r>
        <w:rPr>
          <w:rFonts w:hint="eastAsia" w:ascii="仿宋_GB2312" w:hAnsi="仿宋_GB2312" w:eastAsia="仿宋_GB2312" w:cs="仿宋_GB2312"/>
          <w:color w:val="auto"/>
          <w:sz w:val="32"/>
          <w:szCs w:val="32"/>
          <w:u w:val="none"/>
          <w:lang w:val="en-US" w:eastAsia="zh-CN"/>
        </w:rPr>
        <w:t>4辆，召回车辆均已自行拆解，</w:t>
      </w:r>
      <w:r>
        <w:rPr>
          <w:rFonts w:hint="eastAsia" w:ascii="仿宋_GB2312" w:hAnsi="仿宋_GB2312" w:eastAsia="仿宋_GB2312" w:cs="仿宋_GB2312"/>
          <w:color w:val="auto"/>
          <w:sz w:val="32"/>
          <w:szCs w:val="32"/>
          <w:u w:val="none"/>
        </w:rPr>
        <w:t>本案货值金额</w:t>
      </w:r>
      <w:r>
        <w:rPr>
          <w:rFonts w:hint="eastAsia" w:ascii="仿宋_GB2312" w:hAnsi="仿宋_GB2312" w:eastAsia="仿宋_GB2312" w:cs="仿宋_GB2312"/>
          <w:color w:val="auto"/>
          <w:sz w:val="32"/>
          <w:szCs w:val="32"/>
          <w:u w:val="none"/>
          <w:lang w:val="en-US" w:eastAsia="zh-CN"/>
        </w:rPr>
        <w:t>13200</w:t>
      </w:r>
      <w:r>
        <w:rPr>
          <w:rFonts w:hint="eastAsia" w:ascii="仿宋_GB2312" w:hAnsi="仿宋_GB2312" w:eastAsia="仿宋_GB2312" w:cs="仿宋_GB2312"/>
          <w:color w:val="auto"/>
          <w:sz w:val="32"/>
          <w:szCs w:val="32"/>
          <w:u w:val="none"/>
        </w:rPr>
        <w:t>元，违法所得</w:t>
      </w:r>
      <w:r>
        <w:rPr>
          <w:rFonts w:hint="eastAsia" w:ascii="仿宋_GB2312" w:hAnsi="仿宋_GB2312" w:eastAsia="仿宋_GB2312" w:cs="仿宋_GB2312"/>
          <w:color w:val="auto"/>
          <w:sz w:val="32"/>
          <w:szCs w:val="32"/>
          <w:u w:val="none"/>
          <w:lang w:val="en-US" w:eastAsia="zh-CN"/>
        </w:rPr>
        <w:t>100.41元</w:t>
      </w:r>
      <w:r>
        <w:rPr>
          <w:rFonts w:hint="eastAsia" w:ascii="仿宋_GB2312" w:hAnsi="仿宋_GB2312" w:eastAsia="仿宋_GB2312" w:cs="仿宋_GB2312"/>
          <w:color w:val="auto"/>
          <w:sz w:val="32"/>
          <w:szCs w:val="32"/>
          <w:u w:val="none"/>
        </w:rPr>
        <w:t>。</w:t>
      </w:r>
    </w:p>
    <w:p>
      <w:pPr>
        <w:pStyle w:val="5"/>
        <w:spacing w:line="560" w:lineRule="exact"/>
        <w:ind w:firstLine="640" w:firstLineChars="200"/>
        <w:rPr>
          <w:rFonts w:ascii="仿宋_GB2312" w:hAnsi="Times New Roman" w:eastAsia="仿宋_GB2312" w:cs="仿宋_GB2312"/>
          <w:kern w:val="0"/>
          <w:sz w:val="32"/>
          <w:szCs w:val="32"/>
          <w:u w:val="none"/>
        </w:rPr>
      </w:pPr>
      <w:r>
        <w:rPr>
          <w:rFonts w:ascii="仿宋_GB2312" w:hAnsi="Times New Roman" w:eastAsia="仿宋_GB2312" w:cs="仿宋_GB2312"/>
          <w:kern w:val="0"/>
          <w:sz w:val="32"/>
          <w:szCs w:val="32"/>
          <w:u w:val="none"/>
        </w:rPr>
        <w:t>上述事实，主要有以下证据证明：</w:t>
      </w:r>
    </w:p>
    <w:p>
      <w:pPr>
        <w:numPr>
          <w:ilvl w:val="0"/>
          <w:numId w:val="0"/>
        </w:numPr>
        <w:spacing w:line="560" w:lineRule="exact"/>
        <w:rPr>
          <w:rFonts w:ascii="仿宋_GB2312" w:eastAsia="仿宋_GB2312"/>
          <w:sz w:val="32"/>
          <w:szCs w:val="32"/>
          <w:u w:val="none"/>
        </w:rPr>
      </w:pPr>
      <w:r>
        <w:rPr>
          <w:rFonts w:hint="eastAsia" w:ascii="仿宋_GB2312" w:eastAsia="仿宋_GB2312"/>
          <w:sz w:val="32"/>
          <w:szCs w:val="32"/>
          <w:u w:val="none"/>
          <w:lang w:val="en-US" w:eastAsia="zh-CN"/>
        </w:rPr>
        <w:t>1</w:t>
      </w:r>
      <w:r>
        <w:rPr>
          <w:rFonts w:ascii="仿宋_GB2312" w:eastAsia="仿宋_GB2312"/>
          <w:sz w:val="32"/>
          <w:szCs w:val="32"/>
          <w:u w:val="none"/>
        </w:rPr>
        <w:t>、</w:t>
      </w:r>
      <w:r>
        <w:rPr>
          <w:rFonts w:hint="eastAsia" w:ascii="Times New Roman" w:hAnsi="Times New Roman" w:eastAsia="仿宋_GB2312" w:cs="仿宋_GB2312"/>
          <w:sz w:val="32"/>
          <w:szCs w:val="32"/>
          <w:u w:val="none"/>
        </w:rPr>
        <w:t>当事人的营业执照复印件、法定代表人身份证复印件；</w:t>
      </w:r>
      <w:r>
        <w:rPr>
          <w:rFonts w:hint="eastAsia" w:ascii="仿宋_GB2312" w:eastAsia="仿宋_GB2312"/>
          <w:sz w:val="32"/>
          <w:szCs w:val="32"/>
          <w:u w:val="none"/>
          <w:lang w:val="en-US" w:eastAsia="zh-CN"/>
        </w:rPr>
        <w:t>2</w:t>
      </w:r>
      <w:r>
        <w:rPr>
          <w:rFonts w:ascii="仿宋_GB2312" w:eastAsia="仿宋_GB2312"/>
          <w:sz w:val="32"/>
          <w:szCs w:val="32"/>
          <w:u w:val="none"/>
        </w:rPr>
        <w:t>、</w:t>
      </w:r>
      <w:r>
        <w:rPr>
          <w:rFonts w:hint="eastAsia" w:ascii="Times New Roman" w:hAnsi="Times New Roman" w:eastAsia="仿宋_GB2312" w:cs="仿宋_GB2312"/>
          <w:color w:val="auto"/>
          <w:sz w:val="32"/>
          <w:szCs w:val="32"/>
          <w:u w:val="none"/>
        </w:rPr>
        <w:t>现场笔录、</w:t>
      </w:r>
      <w:r>
        <w:rPr>
          <w:rFonts w:hint="eastAsia" w:ascii="Times New Roman" w:hAnsi="Times New Roman" w:eastAsia="仿宋_GB2312" w:cs="仿宋"/>
          <w:color w:val="auto"/>
          <w:sz w:val="32"/>
          <w:szCs w:val="32"/>
          <w:u w:val="none"/>
          <w:lang w:eastAsia="zh-CN"/>
        </w:rPr>
        <w:t>现场照片</w:t>
      </w:r>
      <w:r>
        <w:rPr>
          <w:rFonts w:hint="eastAsia" w:ascii="Times New Roman" w:hAnsi="Times New Roman" w:eastAsia="仿宋_GB2312" w:cs="仿宋_GB2312"/>
          <w:sz w:val="32"/>
          <w:szCs w:val="32"/>
          <w:u w:val="none"/>
          <w:lang w:eastAsia="zh-CN"/>
        </w:rPr>
        <w:t>；</w:t>
      </w:r>
      <w:r>
        <w:rPr>
          <w:rFonts w:hint="eastAsia" w:ascii="仿宋_GB2312" w:eastAsia="仿宋_GB2312"/>
          <w:sz w:val="32"/>
          <w:szCs w:val="32"/>
          <w:u w:val="none"/>
          <w:lang w:val="en-US" w:eastAsia="zh-CN"/>
        </w:rPr>
        <w:t>3</w:t>
      </w:r>
      <w:r>
        <w:rPr>
          <w:rFonts w:hint="eastAsia" w:ascii="仿宋_GB2312" w:eastAsia="仿宋_GB2312"/>
          <w:sz w:val="32"/>
          <w:szCs w:val="32"/>
          <w:u w:val="none"/>
        </w:rPr>
        <w:t>、</w:t>
      </w:r>
      <w:r>
        <w:rPr>
          <w:rFonts w:hint="eastAsia" w:ascii="仿宋_GB2312" w:hAnsi="仿宋_GB2312" w:eastAsia="仿宋_GB2312" w:cs="仿宋_GB2312"/>
          <w:sz w:val="32"/>
          <w:szCs w:val="32"/>
          <w:u w:val="none"/>
          <w:lang w:eastAsia="zh-CN"/>
        </w:rPr>
        <w:t>宿迁市宿豫区市场监督管理局</w:t>
      </w:r>
      <w:r>
        <w:rPr>
          <w:rFonts w:hint="eastAsia" w:ascii="仿宋_GB2312" w:hAnsi="仿宋_GB2312" w:eastAsia="仿宋_GB2312" w:cs="仿宋_GB2312"/>
          <w:sz w:val="32"/>
          <w:szCs w:val="32"/>
          <w:u w:val="none"/>
          <w:lang w:val="en-US" w:eastAsia="zh-CN"/>
        </w:rPr>
        <w:t>邮寄的案件移送函（宿豫市监案移</w:t>
      </w:r>
      <w:r>
        <w:rPr>
          <w:rFonts w:hint="eastAsia" w:ascii="仿宋_GB2312" w:hAnsi="仿宋_GB2312" w:eastAsia="仿宋_GB2312" w:cs="仿宋_GB2312"/>
          <w:sz w:val="32"/>
          <w:szCs w:val="32"/>
          <w:u w:val="none"/>
        </w:rPr>
        <w:t>〔2022〕</w:t>
      </w:r>
      <w:r>
        <w:rPr>
          <w:rFonts w:hint="eastAsia" w:ascii="仿宋_GB2312" w:hAnsi="仿宋_GB2312" w:eastAsia="仿宋_GB2312" w:cs="仿宋_GB2312"/>
          <w:sz w:val="32"/>
          <w:szCs w:val="32"/>
          <w:u w:val="none"/>
          <w:lang w:val="en-US" w:eastAsia="zh-CN"/>
        </w:rPr>
        <w:t>10031号）及销售企业产品质量监督抽查抽样单和检验检测报告（2022）JD字WC类第0002号</w:t>
      </w:r>
      <w:r>
        <w:rPr>
          <w:rFonts w:hint="eastAsia" w:ascii="Times New Roman" w:hAnsi="Times New Roman" w:eastAsia="仿宋_GB2312" w:cs="仿宋_GB2312"/>
          <w:sz w:val="32"/>
          <w:szCs w:val="32"/>
          <w:u w:val="none"/>
        </w:rPr>
        <w:t>；</w:t>
      </w:r>
      <w:r>
        <w:rPr>
          <w:rFonts w:hint="eastAsia" w:ascii="仿宋_GB2312" w:eastAsia="仿宋_GB2312"/>
          <w:sz w:val="32"/>
          <w:szCs w:val="32"/>
          <w:u w:val="none"/>
          <w:lang w:val="en-US" w:eastAsia="zh-CN"/>
        </w:rPr>
        <w:t>4</w:t>
      </w:r>
      <w:r>
        <w:rPr>
          <w:rFonts w:hint="eastAsia" w:ascii="仿宋_GB2312" w:eastAsia="仿宋_GB2312"/>
          <w:sz w:val="32"/>
          <w:szCs w:val="32"/>
          <w:u w:val="none"/>
        </w:rPr>
        <w:t>、检验报告（报告编号：</w:t>
      </w:r>
      <w:r>
        <w:rPr>
          <w:rFonts w:hint="eastAsia" w:ascii="仿宋_GB2312" w:eastAsia="仿宋_GB2312"/>
          <w:sz w:val="32"/>
          <w:szCs w:val="32"/>
          <w:u w:val="none"/>
          <w:lang w:val="en-US" w:eastAsia="zh-CN"/>
        </w:rPr>
        <w:t>SC2021-C39-D14-L011A</w:t>
      </w:r>
      <w:r>
        <w:rPr>
          <w:rFonts w:hint="eastAsia" w:ascii="仿宋_GB2312" w:eastAsia="仿宋_GB2312"/>
          <w:sz w:val="32"/>
          <w:szCs w:val="32"/>
          <w:u w:val="none"/>
        </w:rPr>
        <w:t>）</w:t>
      </w:r>
      <w:r>
        <w:rPr>
          <w:rFonts w:hint="eastAsia" w:ascii="仿宋_GB2312" w:eastAsia="仿宋_GB2312"/>
          <w:sz w:val="32"/>
          <w:szCs w:val="32"/>
          <w:u w:val="none"/>
          <w:lang w:eastAsia="zh-CN"/>
        </w:rPr>
        <w:t>、</w:t>
      </w:r>
      <w:r>
        <w:rPr>
          <w:rFonts w:hint="eastAsia" w:ascii="仿宋_GB2312" w:hAnsi="仿宋_GB2312" w:eastAsia="仿宋_GB2312" w:cs="仿宋_GB2312"/>
          <w:sz w:val="32"/>
          <w:szCs w:val="32"/>
          <w:u w:val="none"/>
          <w:lang w:val="en-US" w:eastAsia="zh-CN"/>
        </w:rPr>
        <w:t>产品质量监督抽查抽样单、整改建议（</w:t>
      </w:r>
      <w:r>
        <w:rPr>
          <w:rFonts w:hint="eastAsia" w:ascii="仿宋_GB2312" w:eastAsia="仿宋_GB2312"/>
          <w:sz w:val="32"/>
          <w:szCs w:val="32"/>
          <w:u w:val="none"/>
          <w:lang w:val="en-US" w:eastAsia="zh-CN"/>
        </w:rPr>
        <w:t>SC2021-C39-D14-L011A</w:t>
      </w:r>
      <w:r>
        <w:rPr>
          <w:rFonts w:hint="eastAsia" w:ascii="仿宋_GB2312" w:eastAsia="仿宋_GB2312"/>
          <w:sz w:val="32"/>
          <w:szCs w:val="32"/>
          <w:u w:val="none"/>
        </w:rPr>
        <w:t>）</w:t>
      </w:r>
      <w:r>
        <w:rPr>
          <w:rFonts w:hint="eastAsia" w:ascii="Times New Roman" w:hAnsi="Times New Roman" w:eastAsia="仿宋_GB2312" w:cs="仿宋_GB2312"/>
          <w:sz w:val="32"/>
          <w:szCs w:val="32"/>
          <w:u w:val="none"/>
        </w:rPr>
        <w:t>；</w:t>
      </w:r>
      <w:r>
        <w:rPr>
          <w:rFonts w:hint="eastAsia" w:ascii="仿宋_GB2312" w:eastAsia="仿宋_GB2312"/>
          <w:sz w:val="32"/>
          <w:szCs w:val="32"/>
          <w:u w:val="none"/>
          <w:lang w:val="en-US" w:eastAsia="zh-CN"/>
        </w:rPr>
        <w:t>5</w:t>
      </w:r>
      <w:r>
        <w:rPr>
          <w:rFonts w:hint="eastAsia" w:ascii="仿宋_GB2312" w:eastAsia="仿宋_GB2312"/>
          <w:sz w:val="32"/>
          <w:szCs w:val="32"/>
          <w:u w:val="none"/>
        </w:rPr>
        <w:t>、</w:t>
      </w:r>
      <w:r>
        <w:rPr>
          <w:rFonts w:hint="eastAsia" w:ascii="Times New Roman" w:hAnsi="Times New Roman" w:eastAsia="仿宋_GB2312" w:cs="仿宋_GB2312"/>
          <w:sz w:val="32"/>
          <w:szCs w:val="32"/>
          <w:u w:val="none"/>
        </w:rPr>
        <w:t>产品生产执行标准</w:t>
      </w:r>
      <w:r>
        <w:rPr>
          <w:rFonts w:hint="eastAsia" w:ascii="仿宋_GB2312" w:hAnsi="仿宋_GB2312" w:eastAsia="仿宋_GB2312" w:cs="仿宋_GB2312"/>
          <w:sz w:val="32"/>
          <w:szCs w:val="32"/>
          <w:u w:val="none"/>
        </w:rPr>
        <w:t>GB 17761-2018</w:t>
      </w:r>
      <w:r>
        <w:rPr>
          <w:rFonts w:hint="eastAsia" w:ascii="Times New Roman" w:hAnsi="Times New Roman" w:eastAsia="仿宋_GB2312" w:cs="仿宋_GB2312"/>
          <w:sz w:val="32"/>
          <w:szCs w:val="32"/>
          <w:u w:val="none"/>
        </w:rPr>
        <w:t>《电动自行车通用技术条件》文本的首页、标准前言、标准适用范围、标准关键项目指标要求打印件；</w:t>
      </w:r>
      <w:r>
        <w:rPr>
          <w:rFonts w:hint="eastAsia" w:ascii="仿宋_GB2312" w:eastAsia="仿宋_GB2312"/>
          <w:sz w:val="32"/>
          <w:szCs w:val="32"/>
          <w:u w:val="none"/>
          <w:lang w:val="en-US" w:eastAsia="zh-CN"/>
        </w:rPr>
        <w:t>6</w:t>
      </w:r>
      <w:r>
        <w:rPr>
          <w:rFonts w:hint="eastAsia" w:ascii="仿宋_GB2312" w:eastAsia="仿宋_GB2312"/>
          <w:sz w:val="32"/>
          <w:szCs w:val="32"/>
          <w:u w:val="none"/>
        </w:rPr>
        <w:t>、</w:t>
      </w:r>
      <w:r>
        <w:rPr>
          <w:rFonts w:hint="eastAsia" w:ascii="Times New Roman" w:hAnsi="Times New Roman" w:eastAsia="仿宋_GB2312" w:cs="仿宋_GB2312"/>
          <w:color w:val="auto"/>
          <w:sz w:val="32"/>
          <w:szCs w:val="32"/>
          <w:u w:val="none"/>
        </w:rPr>
        <w:t>对</w:t>
      </w:r>
      <w:r>
        <w:rPr>
          <w:rFonts w:hint="eastAsia" w:ascii="Times New Roman" w:hAnsi="Times New Roman" w:eastAsia="仿宋_GB2312" w:cs="仿宋_GB2312"/>
          <w:color w:val="auto"/>
          <w:sz w:val="32"/>
          <w:szCs w:val="32"/>
          <w:u w:val="none"/>
          <w:lang w:eastAsia="zh-CN"/>
        </w:rPr>
        <w:t>质检部主管王义臣的询问笔录、授权委托书、被委托人王义臣的身份证复印件</w:t>
      </w:r>
      <w:r>
        <w:rPr>
          <w:rFonts w:hint="eastAsia" w:ascii="Times New Roman" w:hAnsi="Times New Roman" w:eastAsia="仿宋_GB2312" w:cs="仿宋_GB2312"/>
          <w:sz w:val="32"/>
          <w:szCs w:val="32"/>
          <w:u w:val="none"/>
        </w:rPr>
        <w:t>；</w:t>
      </w:r>
      <w:r>
        <w:rPr>
          <w:rFonts w:hint="eastAsia" w:ascii="仿宋_GB2312" w:eastAsia="仿宋_GB2312"/>
          <w:sz w:val="32"/>
          <w:szCs w:val="32"/>
          <w:u w:val="none"/>
          <w:lang w:val="en-US" w:eastAsia="zh-CN"/>
        </w:rPr>
        <w:t>7</w:t>
      </w:r>
      <w:r>
        <w:rPr>
          <w:rFonts w:ascii="仿宋_GB2312" w:eastAsia="仿宋_GB2312"/>
          <w:sz w:val="32"/>
          <w:szCs w:val="32"/>
          <w:u w:val="none"/>
        </w:rPr>
        <w:t>、</w:t>
      </w:r>
      <w:r>
        <w:rPr>
          <w:rFonts w:hint="eastAsia" w:ascii="Times New Roman" w:hAnsi="Times New Roman" w:eastAsia="仿宋_GB2312" w:cs="仿宋"/>
          <w:color w:val="auto"/>
          <w:sz w:val="32"/>
          <w:szCs w:val="32"/>
          <w:u w:val="none"/>
          <w:lang w:eastAsia="zh-CN"/>
        </w:rPr>
        <w:t>生产计划、发货通知单、生产成本计算表</w:t>
      </w:r>
      <w:r>
        <w:rPr>
          <w:rFonts w:hint="eastAsia" w:ascii="Times New Roman" w:hAnsi="Times New Roman" w:eastAsia="仿宋_GB2312" w:cs="仿宋_GB2312"/>
          <w:color w:val="auto"/>
          <w:sz w:val="32"/>
          <w:szCs w:val="32"/>
          <w:u w:val="none"/>
          <w:lang w:val="en-US" w:eastAsia="zh-CN"/>
        </w:rPr>
        <w:t>、货值金额计算表；</w:t>
      </w:r>
      <w:r>
        <w:rPr>
          <w:rFonts w:hint="eastAsia" w:ascii="仿宋_GB2312" w:eastAsia="仿宋_GB2312"/>
          <w:sz w:val="32"/>
          <w:szCs w:val="32"/>
          <w:u w:val="none"/>
          <w:lang w:val="en-US" w:eastAsia="zh-CN"/>
        </w:rPr>
        <w:t>8</w:t>
      </w:r>
      <w:r>
        <w:rPr>
          <w:rFonts w:hint="eastAsia" w:ascii="仿宋_GB2312" w:eastAsia="仿宋_GB2312"/>
          <w:sz w:val="32"/>
          <w:szCs w:val="32"/>
          <w:u w:val="none"/>
        </w:rPr>
        <w:t>、</w:t>
      </w:r>
      <w:r>
        <w:rPr>
          <w:rFonts w:hint="eastAsia" w:ascii="Times New Roman" w:hAnsi="Times New Roman" w:eastAsia="仿宋_GB2312" w:cs="仿宋_GB2312"/>
          <w:sz w:val="32"/>
          <w:szCs w:val="32"/>
          <w:u w:val="none"/>
        </w:rPr>
        <w:t>整改报告、</w:t>
      </w:r>
      <w:r>
        <w:rPr>
          <w:rFonts w:hint="eastAsia" w:ascii="Times New Roman" w:hAnsi="Times New Roman" w:eastAsia="仿宋_GB2312" w:cs="仿宋_GB2312"/>
          <w:sz w:val="32"/>
          <w:szCs w:val="32"/>
          <w:u w:val="none"/>
          <w:lang w:val="en-US" w:eastAsia="zh-CN"/>
        </w:rPr>
        <w:t>产品召回通知单</w:t>
      </w:r>
      <w:r>
        <w:rPr>
          <w:rFonts w:hint="eastAsia" w:ascii="Times New Roman" w:hAnsi="Times New Roman" w:eastAsia="仿宋_GB2312" w:cs="仿宋_GB2312"/>
          <w:sz w:val="32"/>
          <w:szCs w:val="32"/>
          <w:u w:val="none"/>
        </w:rPr>
        <w:t>。</w:t>
      </w:r>
    </w:p>
    <w:p>
      <w:pPr>
        <w:snapToGrid w:val="0"/>
        <w:spacing w:line="560" w:lineRule="exact"/>
        <w:ind w:left="105" w:leftChars="50" w:firstLine="537" w:firstLineChars="168"/>
        <w:rPr>
          <w:rFonts w:ascii="仿宋_GB2312" w:eastAsia="仿宋_GB2312"/>
          <w:color w:val="000000"/>
          <w:sz w:val="32"/>
          <w:szCs w:val="32"/>
          <w:u w:val="none"/>
        </w:rPr>
      </w:pPr>
      <w:r>
        <w:rPr>
          <w:rFonts w:hint="eastAsia" w:ascii="仿宋_GB2312" w:hAnsi="楷体_GB2312" w:eastAsia="仿宋_GB2312" w:cs="楷体_GB2312"/>
          <w:color w:val="000000" w:themeColor="text1"/>
          <w:sz w:val="32"/>
          <w:szCs w:val="32"/>
          <w:u w:val="none"/>
          <w14:textFill>
            <w14:solidFill>
              <w14:schemeClr w14:val="tx1"/>
            </w14:solidFill>
          </w14:textFill>
        </w:rPr>
        <w:t>本局于</w:t>
      </w:r>
      <w:r>
        <w:rPr>
          <w:rFonts w:ascii="仿宋_GB2312" w:hAnsi="楷体_GB2312" w:eastAsia="仿宋_GB2312" w:cs="楷体_GB2312"/>
          <w:color w:val="000000" w:themeColor="text1"/>
          <w:sz w:val="32"/>
          <w:szCs w:val="32"/>
          <w:u w:val="none"/>
          <w14:textFill>
            <w14:solidFill>
              <w14:schemeClr w14:val="tx1"/>
            </w14:solidFill>
          </w14:textFill>
        </w:rPr>
        <w:t>2022</w:t>
      </w:r>
      <w:r>
        <w:rPr>
          <w:rFonts w:hint="eastAsia" w:ascii="仿宋_GB2312" w:hAnsi="楷体_GB2312" w:eastAsia="仿宋_GB2312" w:cs="楷体_GB2312"/>
          <w:color w:val="000000" w:themeColor="text1"/>
          <w:sz w:val="32"/>
          <w:szCs w:val="32"/>
          <w:u w:val="none"/>
          <w14:textFill>
            <w14:solidFill>
              <w14:schemeClr w14:val="tx1"/>
            </w14:solidFill>
          </w14:textFill>
        </w:rPr>
        <w:t>年</w:t>
      </w:r>
      <w:r>
        <w:rPr>
          <w:rFonts w:hint="eastAsia" w:ascii="仿宋_GB2312" w:hAnsi="楷体_GB2312" w:eastAsia="仿宋_GB2312" w:cs="楷体_GB2312"/>
          <w:color w:val="000000" w:themeColor="text1"/>
          <w:sz w:val="32"/>
          <w:szCs w:val="32"/>
          <w:u w:val="none"/>
          <w:lang w:val="en-US" w:eastAsia="zh-CN"/>
          <w14:textFill>
            <w14:solidFill>
              <w14:schemeClr w14:val="tx1"/>
            </w14:solidFill>
          </w14:textFill>
        </w:rPr>
        <w:t>10</w:t>
      </w:r>
      <w:r>
        <w:rPr>
          <w:rFonts w:hint="eastAsia" w:ascii="仿宋_GB2312" w:hAnsi="楷体_GB2312" w:eastAsia="仿宋_GB2312" w:cs="楷体_GB2312"/>
          <w:color w:val="000000" w:themeColor="text1"/>
          <w:sz w:val="32"/>
          <w:szCs w:val="32"/>
          <w:u w:val="none"/>
          <w14:textFill>
            <w14:solidFill>
              <w14:schemeClr w14:val="tx1"/>
            </w14:solidFill>
          </w14:textFill>
        </w:rPr>
        <w:t>月</w:t>
      </w:r>
      <w:r>
        <w:rPr>
          <w:rFonts w:hint="eastAsia" w:ascii="仿宋_GB2312" w:hAnsi="楷体_GB2312" w:eastAsia="仿宋_GB2312" w:cs="楷体_GB2312"/>
          <w:color w:val="000000" w:themeColor="text1"/>
          <w:sz w:val="32"/>
          <w:szCs w:val="32"/>
          <w:u w:val="none"/>
          <w:lang w:val="en-US" w:eastAsia="zh-CN"/>
          <w14:textFill>
            <w14:solidFill>
              <w14:schemeClr w14:val="tx1"/>
            </w14:solidFill>
          </w14:textFill>
        </w:rPr>
        <w:t>14</w:t>
      </w:r>
      <w:r>
        <w:rPr>
          <w:rFonts w:hint="eastAsia" w:ascii="仿宋_GB2312" w:hAnsi="楷体_GB2312" w:eastAsia="仿宋_GB2312" w:cs="楷体_GB2312"/>
          <w:color w:val="000000" w:themeColor="text1"/>
          <w:sz w:val="32"/>
          <w:szCs w:val="32"/>
          <w:u w:val="none"/>
          <w14:textFill>
            <w14:solidFill>
              <w14:schemeClr w14:val="tx1"/>
            </w14:solidFill>
          </w14:textFill>
        </w:rPr>
        <w:t>日依法向当事人送达了《行政处罚告知书》（</w:t>
      </w:r>
      <w:r>
        <w:rPr>
          <w:rFonts w:hint="eastAsia" w:eastAsia="仿宋_GB2312" w:cs="仿宋"/>
          <w:color w:val="000000" w:themeColor="text1"/>
          <w:sz w:val="32"/>
          <w:szCs w:val="32"/>
          <w:u w:val="none"/>
          <w14:textFill>
            <w14:solidFill>
              <w14:schemeClr w14:val="tx1"/>
            </w14:solidFill>
          </w14:textFill>
        </w:rPr>
        <w:t>津辰市监罚告</w:t>
      </w:r>
      <w:r>
        <w:rPr>
          <w:rFonts w:hint="eastAsia" w:ascii="仿宋_GB2312" w:eastAsia="仿宋_GB2312" w:cs="仿宋"/>
          <w:bCs/>
          <w:color w:val="000000" w:themeColor="text1"/>
          <w:sz w:val="32"/>
          <w:szCs w:val="32"/>
          <w:u w:val="none"/>
          <w14:textFill>
            <w14:solidFill>
              <w14:schemeClr w14:val="tx1"/>
            </w14:solidFill>
          </w14:textFill>
        </w:rPr>
        <w:t>〔</w:t>
      </w:r>
      <w:r>
        <w:rPr>
          <w:rFonts w:ascii="仿宋_GB2312" w:eastAsia="仿宋_GB2312" w:cs="仿宋"/>
          <w:bCs/>
          <w:color w:val="000000" w:themeColor="text1"/>
          <w:sz w:val="32"/>
          <w:szCs w:val="32"/>
          <w:u w:val="none"/>
          <w14:textFill>
            <w14:solidFill>
              <w14:schemeClr w14:val="tx1"/>
            </w14:solidFill>
          </w14:textFill>
        </w:rPr>
        <w:t>202</w:t>
      </w:r>
      <w:r>
        <w:rPr>
          <w:rFonts w:hint="eastAsia" w:ascii="仿宋_GB2312" w:eastAsia="仿宋_GB2312" w:cs="仿宋"/>
          <w:bCs/>
          <w:color w:val="000000" w:themeColor="text1"/>
          <w:sz w:val="32"/>
          <w:szCs w:val="32"/>
          <w:u w:val="none"/>
          <w:lang w:val="en-US" w:eastAsia="zh-CN"/>
          <w14:textFill>
            <w14:solidFill>
              <w14:schemeClr w14:val="tx1"/>
            </w14:solidFill>
          </w14:textFill>
        </w:rPr>
        <w:t>2</w:t>
      </w:r>
      <w:r>
        <w:rPr>
          <w:rFonts w:hint="eastAsia" w:ascii="仿宋_GB2312" w:eastAsia="仿宋_GB2312" w:cs="仿宋"/>
          <w:bCs/>
          <w:color w:val="000000" w:themeColor="text1"/>
          <w:sz w:val="32"/>
          <w:szCs w:val="32"/>
          <w:u w:val="none"/>
          <w14:textFill>
            <w14:solidFill>
              <w14:schemeClr w14:val="tx1"/>
            </w14:solidFill>
          </w14:textFill>
        </w:rPr>
        <w:t>〕</w:t>
      </w:r>
      <w:r>
        <w:rPr>
          <w:rFonts w:hint="eastAsia" w:ascii="仿宋_GB2312" w:eastAsia="仿宋_GB2312" w:cs="仿宋"/>
          <w:bCs/>
          <w:color w:val="000000" w:themeColor="text1"/>
          <w:sz w:val="32"/>
          <w:szCs w:val="32"/>
          <w:u w:val="none"/>
          <w:lang w:val="en-US" w:eastAsia="zh-CN"/>
          <w14:textFill>
            <w14:solidFill>
              <w14:schemeClr w14:val="tx1"/>
            </w14:solidFill>
          </w14:textFill>
        </w:rPr>
        <w:t>575</w:t>
      </w:r>
      <w:r>
        <w:rPr>
          <w:rFonts w:hint="eastAsia" w:ascii="仿宋_GB2312" w:eastAsia="仿宋_GB2312" w:cs="仿宋"/>
          <w:bCs/>
          <w:color w:val="000000" w:themeColor="text1"/>
          <w:sz w:val="32"/>
          <w:szCs w:val="32"/>
          <w:u w:val="none"/>
          <w14:textFill>
            <w14:solidFill>
              <w14:schemeClr w14:val="tx1"/>
            </w14:solidFill>
          </w14:textFill>
        </w:rPr>
        <w:t>号</w:t>
      </w:r>
      <w:r>
        <w:rPr>
          <w:rFonts w:hint="eastAsia" w:ascii="仿宋_GB2312" w:hAnsi="楷体_GB2312" w:eastAsia="仿宋_GB2312" w:cs="楷体_GB2312"/>
          <w:color w:val="000000" w:themeColor="text1"/>
          <w:sz w:val="32"/>
          <w:szCs w:val="32"/>
          <w:u w:val="none"/>
          <w14:textFill>
            <w14:solidFill>
              <w14:schemeClr w14:val="tx1"/>
            </w14:solidFill>
          </w14:textFill>
        </w:rPr>
        <w:t>），当事人没有陈述申辩意见</w:t>
      </w:r>
      <w:r>
        <w:rPr>
          <w:rFonts w:hint="eastAsia" w:ascii="仿宋_GB2312" w:eastAsia="仿宋_GB2312"/>
          <w:color w:val="000000"/>
          <w:sz w:val="32"/>
          <w:szCs w:val="32"/>
          <w:u w:val="none"/>
        </w:rPr>
        <w:t>。</w:t>
      </w:r>
    </w:p>
    <w:p>
      <w:pPr>
        <w:autoSpaceDE w:val="0"/>
        <w:autoSpaceDN w:val="0"/>
        <w:adjustRightInd w:val="0"/>
        <w:spacing w:after="20" w:line="560" w:lineRule="exact"/>
        <w:ind w:firstLine="640" w:firstLineChars="200"/>
        <w:rPr>
          <w:rFonts w:ascii="仿宋_GB2312" w:hAnsi="Times New Roman" w:eastAsia="仿宋_GB2312" w:cs="仿宋_GB2312"/>
          <w:bCs/>
          <w:sz w:val="32"/>
          <w:szCs w:val="32"/>
          <w:u w:val="none"/>
        </w:rPr>
      </w:pPr>
      <w:r>
        <w:rPr>
          <w:rFonts w:hint="eastAsia" w:ascii="仿宋_GB2312" w:eastAsia="仿宋_GB2312" w:cs="仿宋_GB2312"/>
          <w:kern w:val="1"/>
          <w:sz w:val="32"/>
          <w:szCs w:val="32"/>
          <w:u w:val="none"/>
        </w:rPr>
        <w:t>本局认为，</w:t>
      </w:r>
      <w:r>
        <w:rPr>
          <w:rFonts w:hint="eastAsia" w:ascii="Times New Roman" w:hAnsi="Times New Roman" w:eastAsia="仿宋_GB2312" w:cs="仿宋_GB2312"/>
          <w:sz w:val="32"/>
          <w:szCs w:val="32"/>
          <w:u w:val="none"/>
        </w:rPr>
        <w:t>当事人上述行为违反了《中华人民共和国产品质量法》第十三条第二款“禁止生产、销售不符合保障人体健康和人身、财产安全的标准和要求的工业产品。具体管理办法由国务院规定。”和《中华人民共和国产品质量法》第二十六条第二款第一项“产品质量应当符合下列要求：（一）不存在危及人身、财产安全的不合理的危险，有保障人体健康和人身、财产安全的国家标准、行业标准的，应当符合该标准”的规定。</w:t>
      </w:r>
    </w:p>
    <w:p>
      <w:pPr>
        <w:snapToGrid w:val="0"/>
        <w:spacing w:line="560" w:lineRule="exact"/>
        <w:ind w:firstLine="640" w:firstLineChars="200"/>
        <w:rPr>
          <w:rFonts w:ascii="仿宋_GB2312" w:eastAsia="仿宋_GB2312" w:cs="仿宋_GB2312"/>
          <w:kern w:val="1"/>
          <w:sz w:val="32"/>
          <w:szCs w:val="32"/>
          <w:u w:val="none"/>
        </w:rPr>
      </w:pPr>
      <w:r>
        <w:rPr>
          <w:rFonts w:hint="eastAsia" w:ascii="仿宋_GB2312" w:eastAsia="仿宋_GB2312" w:cs="仿宋_GB2312"/>
          <w:color w:val="auto"/>
          <w:kern w:val="1"/>
          <w:sz w:val="32"/>
          <w:szCs w:val="32"/>
          <w:u w:val="none"/>
        </w:rPr>
        <w:t>自由裁量理由等其他需要说明的事项：</w:t>
      </w:r>
      <w:bookmarkStart w:id="3" w:name="_Hlk17884807"/>
      <w:r>
        <w:rPr>
          <w:rFonts w:hint="eastAsia" w:eastAsia="仿宋_GB2312" w:cs="仿宋_GB2312"/>
          <w:sz w:val="32"/>
          <w:szCs w:val="32"/>
          <w:u w:val="none"/>
          <w:lang w:eastAsia="zh-CN"/>
        </w:rPr>
        <w:t>本局认为，鉴于当</w:t>
      </w:r>
      <w:r>
        <w:rPr>
          <w:rFonts w:hint="eastAsia" w:eastAsia="仿宋_GB2312" w:cs="仿宋_GB2312"/>
          <w:sz w:val="32"/>
          <w:szCs w:val="32"/>
          <w:u w:val="none"/>
        </w:rPr>
        <w:t>事人</w:t>
      </w:r>
      <w:bookmarkEnd w:id="3"/>
      <w:r>
        <w:rPr>
          <w:rFonts w:hint="eastAsia" w:eastAsia="仿宋_GB2312" w:cs="仿宋_GB2312"/>
          <w:sz w:val="32"/>
          <w:szCs w:val="32"/>
          <w:u w:val="none"/>
          <w:lang w:eastAsia="zh-CN"/>
        </w:rPr>
        <w:t>能够</w:t>
      </w:r>
      <w:r>
        <w:rPr>
          <w:rFonts w:hint="eastAsia" w:eastAsia="仿宋_GB2312" w:cs="仿宋_GB2312"/>
          <w:sz w:val="32"/>
          <w:szCs w:val="32"/>
          <w:u w:val="none"/>
        </w:rPr>
        <w:t>积极配合行政机关检查</w:t>
      </w:r>
      <w:r>
        <w:rPr>
          <w:rFonts w:hint="eastAsia" w:eastAsia="仿宋_GB2312" w:cs="仿宋_GB2312"/>
          <w:sz w:val="32"/>
          <w:szCs w:val="32"/>
          <w:u w:val="none"/>
          <w:lang w:eastAsia="zh-CN"/>
        </w:rPr>
        <w:t>，</w:t>
      </w:r>
      <w:r>
        <w:rPr>
          <w:rFonts w:hint="eastAsia" w:ascii="仿宋_GB2312" w:eastAsia="仿宋_GB2312"/>
          <w:sz w:val="32"/>
          <w:szCs w:val="32"/>
          <w:u w:val="none"/>
        </w:rPr>
        <w:t>如实陈述违法事实并主动提供证据材料，主动</w:t>
      </w:r>
      <w:r>
        <w:rPr>
          <w:rFonts w:hint="eastAsia" w:ascii="仿宋_GB2312" w:hAnsi="Times New Roman" w:eastAsia="仿宋_GB2312" w:cs="仿宋_GB2312"/>
          <w:sz w:val="32"/>
          <w:szCs w:val="32"/>
          <w:u w:val="none"/>
        </w:rPr>
        <w:t>进行整改和产品召回</w:t>
      </w:r>
      <w:r>
        <w:rPr>
          <w:rFonts w:hint="eastAsia" w:eastAsia="仿宋_GB2312" w:cs="仿宋_GB2312"/>
          <w:sz w:val="32"/>
          <w:szCs w:val="32"/>
          <w:u w:val="none"/>
        </w:rPr>
        <w:t>，</w:t>
      </w:r>
      <w:r>
        <w:rPr>
          <w:rFonts w:hint="eastAsia" w:eastAsia="仿宋_GB2312" w:cs="仿宋_GB2312"/>
          <w:sz w:val="32"/>
          <w:szCs w:val="32"/>
          <w:u w:val="none"/>
          <w:lang w:eastAsia="zh-CN"/>
        </w:rPr>
        <w:t>符合</w:t>
      </w:r>
      <w:r>
        <w:rPr>
          <w:rFonts w:hint="eastAsia" w:eastAsia="仿宋_GB2312" w:cs="仿宋_GB2312"/>
          <w:sz w:val="32"/>
          <w:szCs w:val="32"/>
          <w:u w:val="none"/>
        </w:rPr>
        <w:t>《天津市市场和质量监督管理委员会行政处罚裁量适用规则》第十三条第五项</w:t>
      </w:r>
      <w:r>
        <w:rPr>
          <w:rFonts w:hint="eastAsia" w:eastAsia="仿宋_GB2312" w:cs="仿宋_GB2312"/>
          <w:sz w:val="32"/>
          <w:szCs w:val="32"/>
          <w:u w:val="none"/>
          <w:lang w:eastAsia="zh-CN"/>
        </w:rPr>
        <w:t>“</w:t>
      </w:r>
      <w:r>
        <w:rPr>
          <w:rFonts w:ascii="Times New Roman" w:hAnsi="Times New Roman" w:eastAsia="仿宋_GB2312"/>
          <w:sz w:val="32"/>
          <w:szCs w:val="32"/>
          <w:u w:val="none"/>
        </w:rPr>
        <w:t>当事人有下列情形之一的，应当依法从轻或者减轻行政处罚：</w:t>
      </w:r>
      <w:r>
        <w:rPr>
          <w:rFonts w:hint="eastAsia" w:ascii="Times New Roman" w:hAnsi="Times New Roman" w:eastAsia="仿宋_GB2312"/>
          <w:sz w:val="32"/>
          <w:szCs w:val="32"/>
          <w:u w:val="none"/>
        </w:rPr>
        <w:t>（五）</w:t>
      </w:r>
      <w:r>
        <w:rPr>
          <w:rFonts w:ascii="Times New Roman" w:hAnsi="Times New Roman" w:eastAsia="仿宋_GB2312"/>
          <w:sz w:val="32"/>
          <w:szCs w:val="32"/>
          <w:u w:val="none"/>
        </w:rPr>
        <w:t>积极配合行政机关检查，如实提供有关账册、协议、单据、文件、记录、业务函件和其他资料以及积极改正违法行为的；</w:t>
      </w:r>
      <w:r>
        <w:rPr>
          <w:rFonts w:hint="eastAsia" w:eastAsia="仿宋_GB2312" w:cs="仿宋_GB2312"/>
          <w:sz w:val="32"/>
          <w:szCs w:val="32"/>
          <w:u w:val="none"/>
          <w:lang w:eastAsia="zh-CN"/>
        </w:rPr>
        <w:t>”</w:t>
      </w:r>
      <w:r>
        <w:rPr>
          <w:rFonts w:hint="eastAsia" w:eastAsia="仿宋_GB2312" w:cs="仿宋_GB2312"/>
          <w:sz w:val="32"/>
          <w:szCs w:val="32"/>
          <w:u w:val="none"/>
        </w:rPr>
        <w:t>的规定</w:t>
      </w:r>
      <w:r>
        <w:rPr>
          <w:rFonts w:hint="eastAsia" w:eastAsia="仿宋_GB2312" w:cs="仿宋_GB2312"/>
          <w:sz w:val="32"/>
          <w:szCs w:val="32"/>
          <w:u w:val="none"/>
          <w:lang w:eastAsia="zh-CN"/>
        </w:rPr>
        <w:t>，应</w:t>
      </w:r>
      <w:r>
        <w:rPr>
          <w:rFonts w:hint="eastAsia" w:eastAsia="仿宋_GB2312" w:cs="仿宋_GB2312"/>
          <w:sz w:val="32"/>
          <w:szCs w:val="32"/>
          <w:u w:val="none"/>
        </w:rPr>
        <w:t>予以</w:t>
      </w:r>
      <w:r>
        <w:rPr>
          <w:rFonts w:hint="eastAsia" w:eastAsia="仿宋_GB2312" w:cs="仿宋_GB2312"/>
          <w:sz w:val="32"/>
          <w:szCs w:val="32"/>
          <w:u w:val="none"/>
          <w:lang w:eastAsia="zh-CN"/>
        </w:rPr>
        <w:t>从</w:t>
      </w:r>
      <w:r>
        <w:rPr>
          <w:rFonts w:hint="eastAsia" w:eastAsia="仿宋_GB2312" w:cs="仿宋_GB2312"/>
          <w:sz w:val="32"/>
          <w:szCs w:val="32"/>
          <w:u w:val="none"/>
        </w:rPr>
        <w:t>轻行政处罚。</w:t>
      </w:r>
      <w:r>
        <w:rPr>
          <w:rFonts w:hint="eastAsia" w:ascii="仿宋_GB2312" w:eastAsia="仿宋_GB2312" w:cs="仿宋_GB2312"/>
          <w:kern w:val="1"/>
          <w:sz w:val="32"/>
          <w:szCs w:val="32"/>
          <w:u w:val="none"/>
        </w:rPr>
        <w:t xml:space="preserve">  </w:t>
      </w:r>
    </w:p>
    <w:p>
      <w:pPr>
        <w:snapToGrid w:val="0"/>
        <w:spacing w:line="560" w:lineRule="exact"/>
        <w:ind w:firstLine="640" w:firstLineChars="200"/>
        <w:rPr>
          <w:rFonts w:ascii="仿宋_GB2312" w:hAnsi="Times New Roman" w:eastAsia="仿宋_GB2312" w:cs="仿宋_GB2312"/>
          <w:bCs/>
          <w:sz w:val="32"/>
          <w:szCs w:val="32"/>
          <w:u w:val="none"/>
        </w:rPr>
      </w:pPr>
      <w:r>
        <w:rPr>
          <w:rFonts w:hint="eastAsia" w:ascii="Times New Roman" w:hAnsi="Times New Roman" w:eastAsia="仿宋_GB2312" w:cs="仿宋_GB2312"/>
          <w:bCs/>
          <w:sz w:val="32"/>
          <w:szCs w:val="32"/>
          <w:u w:val="none"/>
        </w:rPr>
        <w:t>依据《中华人民共和国产品质量法》第四十九条“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的规定，责令当事人停止生产销售不符合保障人体健康和人身财产安全的</w:t>
      </w:r>
      <w:r>
        <w:rPr>
          <w:rFonts w:hint="eastAsia" w:ascii="Times New Roman" w:hAnsi="Times New Roman" w:eastAsia="仿宋_GB2312" w:cs="仿宋_GB2312"/>
          <w:bCs/>
          <w:sz w:val="32"/>
          <w:szCs w:val="32"/>
          <w:u w:val="none"/>
          <w:lang w:val="en-US" w:eastAsia="zh-CN"/>
        </w:rPr>
        <w:t>电动</w:t>
      </w:r>
      <w:r>
        <w:rPr>
          <w:rFonts w:hint="eastAsia" w:ascii="Times New Roman" w:hAnsi="Times New Roman" w:eastAsia="仿宋_GB2312" w:cs="仿宋_GB2312"/>
          <w:bCs/>
          <w:sz w:val="32"/>
          <w:szCs w:val="32"/>
          <w:u w:val="none"/>
        </w:rPr>
        <w:t>自行车行为，并对当事人给予以下行政处罚：</w:t>
      </w:r>
      <w:r>
        <w:rPr>
          <w:rFonts w:hint="eastAsia" w:ascii="仿宋_GB2312" w:eastAsia="仿宋_GB2312" w:cs="仿宋_GB2312"/>
          <w:color w:val="auto"/>
          <w:kern w:val="1"/>
          <w:sz w:val="32"/>
          <w:szCs w:val="32"/>
          <w:u w:val="none"/>
        </w:rPr>
        <w:t>1、</w:t>
      </w:r>
      <w:r>
        <w:rPr>
          <w:rFonts w:hint="eastAsia" w:ascii="仿宋_GB2312" w:hAnsi="仿宋_GB2312" w:eastAsia="仿宋_GB2312" w:cs="仿宋_GB2312"/>
          <w:bCs/>
          <w:color w:val="auto"/>
          <w:sz w:val="32"/>
          <w:szCs w:val="32"/>
          <w:u w:val="none"/>
        </w:rPr>
        <w:t>处违法生产产品货值金额</w:t>
      </w:r>
      <w:r>
        <w:rPr>
          <w:rFonts w:hint="eastAsia" w:ascii="仿宋_GB2312" w:hAnsi="仿宋_GB2312" w:eastAsia="仿宋_GB2312" w:cs="仿宋_GB2312"/>
          <w:bCs/>
          <w:color w:val="auto"/>
          <w:sz w:val="32"/>
          <w:szCs w:val="32"/>
          <w:u w:val="none"/>
          <w:lang w:val="en-US" w:eastAsia="zh-CN"/>
        </w:rPr>
        <w:t>等额</w:t>
      </w:r>
      <w:r>
        <w:rPr>
          <w:rFonts w:hint="eastAsia" w:ascii="仿宋_GB2312" w:hAnsi="仿宋_GB2312" w:eastAsia="仿宋_GB2312" w:cs="仿宋_GB2312"/>
          <w:bCs/>
          <w:color w:val="auto"/>
          <w:sz w:val="32"/>
          <w:szCs w:val="32"/>
          <w:u w:val="none"/>
        </w:rPr>
        <w:t>的罚款</w:t>
      </w:r>
      <w:r>
        <w:rPr>
          <w:rFonts w:hint="eastAsia" w:ascii="仿宋_GB2312" w:hAnsi="仿宋_GB2312" w:eastAsia="仿宋_GB2312" w:cs="仿宋_GB2312"/>
          <w:color w:val="auto"/>
          <w:sz w:val="32"/>
          <w:szCs w:val="32"/>
          <w:u w:val="none"/>
          <w:lang w:val="en-US" w:eastAsia="zh-CN"/>
        </w:rPr>
        <w:t>13200</w:t>
      </w:r>
      <w:r>
        <w:rPr>
          <w:rFonts w:hint="eastAsia" w:ascii="仿宋_GB2312" w:hAnsi="仿宋_GB2312" w:eastAsia="仿宋_GB2312" w:cs="仿宋_GB2312"/>
          <w:bCs/>
          <w:color w:val="auto"/>
          <w:sz w:val="32"/>
          <w:szCs w:val="32"/>
          <w:u w:val="none"/>
        </w:rPr>
        <w:t>元</w:t>
      </w:r>
      <w:r>
        <w:rPr>
          <w:rFonts w:hint="eastAsia" w:ascii="仿宋_GB2312" w:hAnsi="仿宋_GB2312" w:eastAsia="仿宋_GB2312" w:cs="仿宋_GB2312"/>
          <w:bCs/>
          <w:color w:val="auto"/>
          <w:sz w:val="32"/>
          <w:szCs w:val="32"/>
          <w:u w:val="none"/>
          <w:lang w:eastAsia="zh-CN"/>
        </w:rPr>
        <w:t>；</w:t>
      </w:r>
      <w:r>
        <w:rPr>
          <w:rFonts w:hint="eastAsia" w:ascii="仿宋_GB2312" w:hAnsi="仿宋_GB2312" w:eastAsia="仿宋_GB2312" w:cs="仿宋_GB2312"/>
          <w:bCs/>
          <w:color w:val="auto"/>
          <w:sz w:val="32"/>
          <w:szCs w:val="32"/>
          <w:u w:val="none"/>
          <w:lang w:val="en-US" w:eastAsia="zh-CN"/>
        </w:rPr>
        <w:t>2、没收违法所得100.41元。</w:t>
      </w:r>
    </w:p>
    <w:p>
      <w:pPr>
        <w:keepNext w:val="0"/>
        <w:keepLines w:val="0"/>
        <w:pageBreakBefore w:val="0"/>
        <w:widowControl w:val="0"/>
        <w:kinsoku/>
        <w:wordWrap/>
        <w:overflowPunct/>
        <w:topLinePunct w:val="0"/>
        <w:autoSpaceDE/>
        <w:autoSpaceDN/>
        <w:bidi w:val="0"/>
        <w:adjustRightInd/>
        <w:snapToGrid/>
        <w:spacing w:line="504" w:lineRule="auto"/>
        <w:ind w:firstLine="640" w:firstLineChars="200"/>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当事人应当自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到期不缴纳罚款的，依据《中华人民共和国行政处罚法》第</w:t>
      </w:r>
      <w:r>
        <w:rPr>
          <w:rFonts w:hint="eastAsia" w:ascii="仿宋_GB2312" w:hAnsi="仿宋_GB2312" w:eastAsia="仿宋_GB2312" w:cs="仿宋_GB2312"/>
          <w:color w:val="000000"/>
          <w:sz w:val="32"/>
          <w:szCs w:val="32"/>
          <w:u w:val="none"/>
          <w:lang w:eastAsia="zh-CN"/>
        </w:rPr>
        <w:t>七</w:t>
      </w:r>
      <w:r>
        <w:rPr>
          <w:rFonts w:hint="eastAsia" w:ascii="仿宋_GB2312" w:hAnsi="仿宋_GB2312" w:eastAsia="仿宋_GB2312" w:cs="仿宋_GB2312"/>
          <w:color w:val="000000"/>
          <w:sz w:val="32"/>
          <w:szCs w:val="32"/>
          <w:u w:val="none"/>
        </w:rPr>
        <w:t>十</w:t>
      </w:r>
      <w:r>
        <w:rPr>
          <w:rFonts w:hint="eastAsia" w:ascii="仿宋_GB2312" w:hAnsi="仿宋_GB2312" w:eastAsia="仿宋_GB2312" w:cs="仿宋_GB2312"/>
          <w:color w:val="000000"/>
          <w:sz w:val="32"/>
          <w:szCs w:val="32"/>
          <w:u w:val="none"/>
          <w:lang w:eastAsia="zh-CN"/>
        </w:rPr>
        <w:t>二</w:t>
      </w:r>
      <w:r>
        <w:rPr>
          <w:rFonts w:hint="eastAsia" w:ascii="仿宋_GB2312" w:hAnsi="仿宋_GB2312" w:eastAsia="仿宋_GB2312" w:cs="仿宋_GB2312"/>
          <w:color w:val="000000"/>
          <w:sz w:val="32"/>
          <w:szCs w:val="32"/>
          <w:u w:val="none"/>
        </w:rPr>
        <w:t>条</w:t>
      </w:r>
      <w:r>
        <w:rPr>
          <w:rFonts w:hint="eastAsia" w:ascii="仿宋_GB2312" w:hAnsi="仿宋_GB2312" w:eastAsia="仿宋_GB2312" w:cs="仿宋_GB2312"/>
          <w:color w:val="000000"/>
          <w:sz w:val="32"/>
          <w:szCs w:val="32"/>
          <w:u w:val="none"/>
          <w:lang w:eastAsia="zh-CN"/>
        </w:rPr>
        <w:t>第一款</w:t>
      </w:r>
      <w:r>
        <w:rPr>
          <w:rFonts w:hint="eastAsia" w:ascii="仿宋_GB2312" w:hAnsi="仿宋_GB2312" w:eastAsia="仿宋_GB2312" w:cs="仿宋_GB2312"/>
          <w:color w:val="000000"/>
          <w:sz w:val="32"/>
          <w:szCs w:val="32"/>
          <w:u w:val="none"/>
        </w:rPr>
        <w:t>第一项的规定，每日按罚款数额的百分之三加处罚款，并将依法申请人民法院强制执行。</w:t>
      </w:r>
    </w:p>
    <w:p>
      <w:pPr>
        <w:widowControl/>
        <w:snapToGrid w:val="0"/>
        <w:spacing w:line="560" w:lineRule="exact"/>
        <w:ind w:firstLine="640" w:firstLineChars="200"/>
        <w:jc w:val="left"/>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如对本行政处罚决定不服，可以于收到本决定书之日起六十日内向天津市北辰区人民政府申请复议，也可以于六个月内依法向天津市北辰区人民法院提起行政诉讼。申请行政复议或者提起行政诉讼期间，行政处罚不停止执行。</w:t>
      </w:r>
    </w:p>
    <w:p>
      <w:pPr>
        <w:widowControl/>
        <w:snapToGrid w:val="0"/>
        <w:spacing w:line="560" w:lineRule="exact"/>
        <w:ind w:firstLine="640" w:firstLineChars="200"/>
        <w:jc w:val="left"/>
        <w:rPr>
          <w:rFonts w:hint="eastAsia" w:ascii="仿宋_GB2312" w:hAnsi="仿宋_GB2312" w:eastAsia="仿宋_GB2312" w:cs="仿宋_GB2312"/>
          <w:color w:val="000000"/>
          <w:sz w:val="32"/>
          <w:szCs w:val="32"/>
          <w:u w:val="none"/>
        </w:rPr>
      </w:pPr>
    </w:p>
    <w:p>
      <w:pPr>
        <w:widowControl/>
        <w:snapToGrid w:val="0"/>
        <w:spacing w:line="560" w:lineRule="exact"/>
        <w:jc w:val="left"/>
        <w:rPr>
          <w:rFonts w:ascii="Times New Roman" w:hAnsi="Times New Roman" w:eastAsia="仿宋_GB2312" w:cs="仿宋"/>
          <w:bCs/>
          <w:color w:val="000000"/>
          <w:sz w:val="32"/>
          <w:szCs w:val="32"/>
          <w:u w:val="none"/>
        </w:rPr>
      </w:pPr>
    </w:p>
    <w:p>
      <w:pPr>
        <w:widowControl/>
        <w:snapToGrid w:val="0"/>
        <w:spacing w:line="560" w:lineRule="exact"/>
        <w:jc w:val="left"/>
        <w:rPr>
          <w:rFonts w:ascii="Times New Roman" w:hAnsi="Times New Roman" w:eastAsia="仿宋_GB2312" w:cs="仿宋"/>
          <w:bCs/>
          <w:color w:val="000000"/>
          <w:sz w:val="32"/>
          <w:szCs w:val="32"/>
          <w:u w:val="none"/>
        </w:rPr>
      </w:pPr>
    </w:p>
    <w:p>
      <w:pPr>
        <w:widowControl/>
        <w:snapToGrid w:val="0"/>
        <w:spacing w:line="560" w:lineRule="exact"/>
        <w:jc w:val="left"/>
        <w:rPr>
          <w:rFonts w:ascii="Times New Roman" w:hAnsi="Times New Roman" w:eastAsia="仿宋_GB2312" w:cs="仿宋"/>
          <w:bCs/>
          <w:color w:val="000000"/>
          <w:sz w:val="32"/>
          <w:szCs w:val="32"/>
          <w:u w:val="none"/>
        </w:rPr>
      </w:pPr>
    </w:p>
    <w:p>
      <w:pPr>
        <w:widowControl/>
        <w:snapToGrid w:val="0"/>
        <w:spacing w:line="560" w:lineRule="exact"/>
        <w:ind w:firstLine="640" w:firstLineChars="200"/>
        <w:jc w:val="left"/>
        <w:rPr>
          <w:rFonts w:ascii="Times New Roman" w:hAnsi="Times New Roman" w:eastAsia="仿宋_GB2312" w:cs="仿宋"/>
          <w:bCs/>
          <w:color w:val="000000"/>
          <w:sz w:val="32"/>
          <w:szCs w:val="32"/>
          <w:u w:val="none"/>
        </w:rPr>
      </w:pPr>
    </w:p>
    <w:p>
      <w:pPr>
        <w:spacing w:line="560" w:lineRule="exact"/>
        <w:ind w:right="640" w:firstLine="601"/>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lang w:val="en-US" w:eastAsia="zh-CN"/>
        </w:rPr>
        <w:t xml:space="preserve">         </w:t>
      </w:r>
      <w:r>
        <w:rPr>
          <w:rFonts w:hint="eastAsia" w:ascii="Times New Roman" w:hAnsi="Times New Roman" w:eastAsia="仿宋_GB2312" w:cs="仿宋"/>
          <w:color w:val="000000"/>
          <w:sz w:val="32"/>
          <w:szCs w:val="32"/>
          <w:u w:val="none"/>
        </w:rPr>
        <w:t>天津市北辰区市场监督管理局</w:t>
      </w:r>
    </w:p>
    <w:p>
      <w:pPr>
        <w:spacing w:line="560" w:lineRule="exact"/>
        <w:ind w:right="1440" w:firstLine="600"/>
        <w:jc w:val="center"/>
        <w:rPr>
          <w:rFonts w:ascii="仿宋_GB2312" w:hAnsi="Times New Roman" w:eastAsia="仿宋_GB2312" w:cs="仿宋"/>
          <w:color w:val="000000"/>
          <w:sz w:val="32"/>
          <w:szCs w:val="32"/>
          <w:u w:val="none"/>
        </w:rPr>
      </w:pPr>
      <w:r>
        <w:rPr>
          <w:rFonts w:hint="eastAsia" w:ascii="仿宋_GB2312" w:hAnsi="Times New Roman" w:eastAsia="仿宋_GB2312" w:cs="仿宋"/>
          <w:color w:val="000000"/>
          <w:sz w:val="32"/>
          <w:szCs w:val="32"/>
          <w:u w:val="none"/>
          <w:lang w:val="en-US" w:eastAsia="zh-CN"/>
        </w:rPr>
        <w:t xml:space="preserve">              </w:t>
      </w:r>
      <w:r>
        <w:rPr>
          <w:rFonts w:hint="eastAsia" w:ascii="仿宋_GB2312" w:hAnsi="Times New Roman" w:eastAsia="仿宋_GB2312" w:cs="仿宋"/>
          <w:color w:val="000000"/>
          <w:sz w:val="32"/>
          <w:szCs w:val="32"/>
          <w:u w:val="none"/>
        </w:rPr>
        <w:t>2</w:t>
      </w:r>
      <w:r>
        <w:rPr>
          <w:rFonts w:ascii="仿宋_GB2312" w:hAnsi="Times New Roman" w:eastAsia="仿宋_GB2312" w:cs="仿宋"/>
          <w:color w:val="000000"/>
          <w:sz w:val="32"/>
          <w:szCs w:val="32"/>
          <w:u w:val="none"/>
        </w:rPr>
        <w:t>022</w:t>
      </w:r>
      <w:r>
        <w:rPr>
          <w:rFonts w:hint="eastAsia" w:ascii="仿宋_GB2312" w:hAnsi="Times New Roman" w:eastAsia="仿宋_GB2312" w:cs="仿宋"/>
          <w:color w:val="000000"/>
          <w:sz w:val="32"/>
          <w:szCs w:val="32"/>
          <w:u w:val="none"/>
        </w:rPr>
        <w:t>年</w:t>
      </w:r>
      <w:r>
        <w:rPr>
          <w:rFonts w:hint="eastAsia" w:ascii="仿宋_GB2312" w:hAnsi="Times New Roman" w:eastAsia="仿宋_GB2312" w:cs="仿宋"/>
          <w:color w:val="000000"/>
          <w:sz w:val="32"/>
          <w:szCs w:val="32"/>
          <w:u w:val="none"/>
          <w:lang w:val="en-US" w:eastAsia="zh-CN"/>
        </w:rPr>
        <w:t>10</w:t>
      </w:r>
      <w:r>
        <w:rPr>
          <w:rFonts w:hint="eastAsia" w:ascii="仿宋_GB2312" w:hAnsi="Times New Roman" w:eastAsia="仿宋_GB2312" w:cs="仿宋"/>
          <w:color w:val="000000"/>
          <w:sz w:val="32"/>
          <w:szCs w:val="32"/>
          <w:u w:val="none"/>
        </w:rPr>
        <w:t>月</w:t>
      </w:r>
      <w:r>
        <w:rPr>
          <w:rFonts w:hint="eastAsia" w:ascii="仿宋_GB2312" w:hAnsi="Times New Roman" w:eastAsia="仿宋_GB2312" w:cs="仿宋"/>
          <w:color w:val="000000"/>
          <w:sz w:val="32"/>
          <w:szCs w:val="32"/>
          <w:u w:val="none"/>
          <w:lang w:val="en-US" w:eastAsia="zh-CN"/>
        </w:rPr>
        <w:t>24</w:t>
      </w:r>
      <w:r>
        <w:rPr>
          <w:rFonts w:hint="eastAsia" w:ascii="仿宋_GB2312" w:hAnsi="Times New Roman" w:eastAsia="仿宋_GB2312" w:cs="仿宋"/>
          <w:color w:val="000000"/>
          <w:sz w:val="32"/>
          <w:szCs w:val="32"/>
          <w:u w:val="none"/>
        </w:rPr>
        <w:t>日</w:t>
      </w:r>
    </w:p>
    <w:p>
      <w:pPr>
        <w:spacing w:line="560" w:lineRule="exact"/>
        <w:ind w:right="1440" w:firstLine="600"/>
        <w:jc w:val="center"/>
        <w:rPr>
          <w:rFonts w:ascii="仿宋_GB2312" w:hAnsi="Times New Roman" w:eastAsia="仿宋_GB2312" w:cs="仿宋"/>
          <w:color w:val="000000"/>
          <w:sz w:val="32"/>
          <w:szCs w:val="32"/>
          <w:u w:val="none"/>
        </w:rPr>
      </w:pPr>
    </w:p>
    <w:p>
      <w:pPr>
        <w:spacing w:line="560" w:lineRule="exact"/>
        <w:ind w:right="1440" w:firstLine="600"/>
        <w:jc w:val="right"/>
        <w:rPr>
          <w:rFonts w:ascii="仿宋_GB2312" w:hAnsi="Times New Roman" w:eastAsia="仿宋_GB2312" w:cs="仿宋"/>
          <w:color w:val="000000"/>
          <w:sz w:val="32"/>
          <w:szCs w:val="32"/>
          <w:u w:val="none"/>
        </w:rPr>
      </w:pPr>
    </w:p>
    <w:p>
      <w:pPr>
        <w:spacing w:line="560" w:lineRule="exact"/>
        <w:ind w:right="1440"/>
        <w:jc w:val="both"/>
        <w:rPr>
          <w:rFonts w:ascii="仿宋_GB2312" w:hAnsi="Times New Roman" w:eastAsia="仿宋_GB2312" w:cs="仿宋"/>
          <w:color w:val="000000"/>
          <w:sz w:val="32"/>
          <w:szCs w:val="32"/>
          <w:u w:val="none"/>
        </w:rPr>
      </w:pPr>
    </w:p>
    <w:p>
      <w:pPr>
        <w:spacing w:line="560" w:lineRule="exact"/>
        <w:ind w:right="1440" w:firstLine="600"/>
        <w:jc w:val="right"/>
        <w:rPr>
          <w:rFonts w:ascii="仿宋_GB2312" w:hAnsi="Times New Roman" w:eastAsia="仿宋_GB2312" w:cs="仿宋"/>
          <w:color w:val="000000"/>
          <w:sz w:val="32"/>
          <w:szCs w:val="32"/>
          <w:u w:val="none"/>
        </w:rPr>
      </w:pPr>
    </w:p>
    <w:p>
      <w:pPr>
        <w:spacing w:line="560" w:lineRule="exact"/>
        <w:ind w:right="1440" w:firstLine="600"/>
        <w:jc w:val="right"/>
        <w:rPr>
          <w:rFonts w:ascii="仿宋_GB2312" w:hAnsi="Times New Roman" w:eastAsia="仿宋_GB2312" w:cs="仿宋"/>
          <w:color w:val="000000"/>
          <w:sz w:val="32"/>
          <w:szCs w:val="32"/>
          <w:u w:val="none"/>
        </w:rPr>
      </w:pPr>
    </w:p>
    <w:p>
      <w:pPr>
        <w:spacing w:line="560" w:lineRule="exact"/>
        <w:ind w:right="1440"/>
        <w:jc w:val="both"/>
        <w:rPr>
          <w:rFonts w:ascii="仿宋_GB2312" w:hAnsi="Times New Roman" w:eastAsia="仿宋_GB2312" w:cs="仿宋"/>
          <w:color w:val="000000"/>
          <w:sz w:val="32"/>
          <w:szCs w:val="32"/>
          <w:u w:val="none"/>
        </w:rPr>
      </w:pPr>
    </w:p>
    <w:p>
      <w:pPr>
        <w:spacing w:line="560" w:lineRule="exact"/>
        <w:ind w:right="1440" w:firstLine="600"/>
        <w:jc w:val="right"/>
        <w:rPr>
          <w:rFonts w:ascii="仿宋_GB2312" w:hAnsi="Times New Roman" w:eastAsia="仿宋_GB2312" w:cs="仿宋"/>
          <w:color w:val="000000"/>
          <w:sz w:val="32"/>
          <w:szCs w:val="32"/>
          <w:u w:val="none"/>
        </w:rPr>
      </w:pPr>
    </w:p>
    <w:p>
      <w:pPr>
        <w:spacing w:line="560" w:lineRule="exact"/>
        <w:ind w:right="1440" w:firstLine="600"/>
        <w:jc w:val="right"/>
        <w:rPr>
          <w:rFonts w:ascii="仿宋_GB2312" w:hAnsi="Times New Roman" w:eastAsia="仿宋_GB2312" w:cs="仿宋"/>
          <w:color w:val="000000"/>
          <w:sz w:val="32"/>
          <w:szCs w:val="32"/>
          <w:u w:val="none"/>
        </w:rPr>
      </w:pPr>
    </w:p>
    <w:p>
      <w:pPr>
        <w:spacing w:line="560" w:lineRule="exact"/>
        <w:ind w:right="1440"/>
        <w:jc w:val="both"/>
        <w:rPr>
          <w:rFonts w:ascii="Times New Roman" w:hAnsi="Times New Roman" w:eastAsia="仿宋_GB2312" w:cs="Mongolian Baiti"/>
          <w:bCs/>
          <w:sz w:val="32"/>
          <w:szCs w:val="32"/>
          <w:u w:val="none"/>
        </w:rPr>
      </w:pPr>
      <w:r>
        <w:rPr>
          <w:rFonts w:hint="eastAsia" w:ascii="仿宋_GB2312" w:hAnsi="Times New Roman" w:eastAsia="仿宋_GB2312" w:cs="仿宋"/>
          <w:color w:val="000000"/>
          <w:sz w:val="32"/>
          <w:szCs w:val="32"/>
          <w:u w:val="none"/>
        </w:rPr>
        <w:t xml:space="preserve">  </w:t>
      </w:r>
      <w:r>
        <w:rPr>
          <w:rFonts w:hint="eastAsia" w:ascii="Times New Roman" w:hAnsi="Times New Roman" w:eastAsia="仿宋_GB2312" w:cs="仿宋_GB2312"/>
          <w:color w:val="000000"/>
          <w:sz w:val="32"/>
          <w:szCs w:val="32"/>
          <w:u w:val="none"/>
        </w:rPr>
        <w:t xml:space="preserve">      </w:t>
      </w:r>
      <w:bookmarkStart w:id="4" w:name="_GoBack"/>
      <w:bookmarkEnd w:id="4"/>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Nimbus Roman No9 L"/>
    <w:panose1 w:val="020B0604020202020204"/>
    <w:charset w:val="86"/>
    <w:family w:val="swiss"/>
    <w:pitch w:val="default"/>
    <w:sig w:usb0="00000000" w:usb1="00000000" w:usb2="0000003F" w:usb3="00000000" w:csb0="003F01FF" w:csb1="00000000"/>
  </w:font>
  <w:font w:name="方正小标宋简体">
    <w:panose1 w:val="02000000000000000000"/>
    <w:charset w:val="86"/>
    <w:family w:val="script"/>
    <w:pitch w:val="default"/>
    <w:sig w:usb0="A00002BF" w:usb1="184F6CFA" w:usb2="00000012"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575"/>
    <w:rsid w:val="00020B5E"/>
    <w:rsid w:val="00041708"/>
    <w:rsid w:val="00045177"/>
    <w:rsid w:val="00053BEA"/>
    <w:rsid w:val="00057B7D"/>
    <w:rsid w:val="00057C63"/>
    <w:rsid w:val="0006528E"/>
    <w:rsid w:val="00067AE6"/>
    <w:rsid w:val="00081E02"/>
    <w:rsid w:val="0009737B"/>
    <w:rsid w:val="000A570E"/>
    <w:rsid w:val="000A7F66"/>
    <w:rsid w:val="000D5A74"/>
    <w:rsid w:val="000D64BE"/>
    <w:rsid w:val="000D7F69"/>
    <w:rsid w:val="000E1CDE"/>
    <w:rsid w:val="00105B3A"/>
    <w:rsid w:val="00124AB7"/>
    <w:rsid w:val="0013009A"/>
    <w:rsid w:val="001302CC"/>
    <w:rsid w:val="00134224"/>
    <w:rsid w:val="00135285"/>
    <w:rsid w:val="0013566B"/>
    <w:rsid w:val="00141265"/>
    <w:rsid w:val="00155150"/>
    <w:rsid w:val="00174513"/>
    <w:rsid w:val="001873DF"/>
    <w:rsid w:val="001935D8"/>
    <w:rsid w:val="001A0A12"/>
    <w:rsid w:val="001A4627"/>
    <w:rsid w:val="001B6371"/>
    <w:rsid w:val="001C48E8"/>
    <w:rsid w:val="001C585A"/>
    <w:rsid w:val="001C6C38"/>
    <w:rsid w:val="001D0DBD"/>
    <w:rsid w:val="001D39FE"/>
    <w:rsid w:val="001D598A"/>
    <w:rsid w:val="001E186D"/>
    <w:rsid w:val="001E3C01"/>
    <w:rsid w:val="001E4DA8"/>
    <w:rsid w:val="001E73DA"/>
    <w:rsid w:val="001F1F34"/>
    <w:rsid w:val="001F6C46"/>
    <w:rsid w:val="002007C2"/>
    <w:rsid w:val="002303E7"/>
    <w:rsid w:val="00235572"/>
    <w:rsid w:val="00247D93"/>
    <w:rsid w:val="00265AC0"/>
    <w:rsid w:val="00276287"/>
    <w:rsid w:val="0028143B"/>
    <w:rsid w:val="00293DDE"/>
    <w:rsid w:val="002A6593"/>
    <w:rsid w:val="002A7ADB"/>
    <w:rsid w:val="002B2A80"/>
    <w:rsid w:val="002C321C"/>
    <w:rsid w:val="002C60A7"/>
    <w:rsid w:val="002D3886"/>
    <w:rsid w:val="002E7F5E"/>
    <w:rsid w:val="002F226E"/>
    <w:rsid w:val="002F7CF0"/>
    <w:rsid w:val="002F7DE3"/>
    <w:rsid w:val="00305C8E"/>
    <w:rsid w:val="00314F50"/>
    <w:rsid w:val="00317337"/>
    <w:rsid w:val="00321374"/>
    <w:rsid w:val="00327185"/>
    <w:rsid w:val="003329C9"/>
    <w:rsid w:val="00337A1C"/>
    <w:rsid w:val="00337E38"/>
    <w:rsid w:val="00343250"/>
    <w:rsid w:val="00381370"/>
    <w:rsid w:val="003842C1"/>
    <w:rsid w:val="00386E2B"/>
    <w:rsid w:val="00395CC8"/>
    <w:rsid w:val="003A14C9"/>
    <w:rsid w:val="003A52F4"/>
    <w:rsid w:val="003B41E5"/>
    <w:rsid w:val="003C2BA3"/>
    <w:rsid w:val="003C2C24"/>
    <w:rsid w:val="003E4778"/>
    <w:rsid w:val="00405F5D"/>
    <w:rsid w:val="00407217"/>
    <w:rsid w:val="00407255"/>
    <w:rsid w:val="004224AB"/>
    <w:rsid w:val="0042497B"/>
    <w:rsid w:val="0042701C"/>
    <w:rsid w:val="00427B75"/>
    <w:rsid w:val="00435C4A"/>
    <w:rsid w:val="0043632E"/>
    <w:rsid w:val="00442709"/>
    <w:rsid w:val="00443319"/>
    <w:rsid w:val="00445C13"/>
    <w:rsid w:val="0045135B"/>
    <w:rsid w:val="004608E5"/>
    <w:rsid w:val="004636C3"/>
    <w:rsid w:val="004671DF"/>
    <w:rsid w:val="00473B02"/>
    <w:rsid w:val="00474830"/>
    <w:rsid w:val="0047772C"/>
    <w:rsid w:val="0048124D"/>
    <w:rsid w:val="00481674"/>
    <w:rsid w:val="00482E7D"/>
    <w:rsid w:val="00485DA1"/>
    <w:rsid w:val="004916F1"/>
    <w:rsid w:val="0049385E"/>
    <w:rsid w:val="004A6F42"/>
    <w:rsid w:val="004B3D5A"/>
    <w:rsid w:val="004C2B30"/>
    <w:rsid w:val="004C43B0"/>
    <w:rsid w:val="004D3A24"/>
    <w:rsid w:val="004D560F"/>
    <w:rsid w:val="004D6822"/>
    <w:rsid w:val="004D6BF5"/>
    <w:rsid w:val="004E65FD"/>
    <w:rsid w:val="004F022C"/>
    <w:rsid w:val="004F48D3"/>
    <w:rsid w:val="005062A4"/>
    <w:rsid w:val="00511C98"/>
    <w:rsid w:val="0051608A"/>
    <w:rsid w:val="0051704B"/>
    <w:rsid w:val="00530D61"/>
    <w:rsid w:val="005531D3"/>
    <w:rsid w:val="00554069"/>
    <w:rsid w:val="00562164"/>
    <w:rsid w:val="00567016"/>
    <w:rsid w:val="005768AA"/>
    <w:rsid w:val="00587A0B"/>
    <w:rsid w:val="00595E1C"/>
    <w:rsid w:val="005A49D8"/>
    <w:rsid w:val="005B0ACC"/>
    <w:rsid w:val="005B59C1"/>
    <w:rsid w:val="005C16B1"/>
    <w:rsid w:val="005C19B8"/>
    <w:rsid w:val="005F0C43"/>
    <w:rsid w:val="00627BF5"/>
    <w:rsid w:val="00637A54"/>
    <w:rsid w:val="0064186E"/>
    <w:rsid w:val="00646178"/>
    <w:rsid w:val="006464ED"/>
    <w:rsid w:val="00675D60"/>
    <w:rsid w:val="00680F9B"/>
    <w:rsid w:val="00693EB8"/>
    <w:rsid w:val="00697BFA"/>
    <w:rsid w:val="006C2A53"/>
    <w:rsid w:val="006D6762"/>
    <w:rsid w:val="006F0686"/>
    <w:rsid w:val="006F189A"/>
    <w:rsid w:val="006F6ABA"/>
    <w:rsid w:val="006F73D1"/>
    <w:rsid w:val="007011B2"/>
    <w:rsid w:val="00703CD8"/>
    <w:rsid w:val="00707AE2"/>
    <w:rsid w:val="007132A2"/>
    <w:rsid w:val="00720FEE"/>
    <w:rsid w:val="00722A35"/>
    <w:rsid w:val="00723C4F"/>
    <w:rsid w:val="00732AF1"/>
    <w:rsid w:val="0074714C"/>
    <w:rsid w:val="0075276C"/>
    <w:rsid w:val="00761363"/>
    <w:rsid w:val="007671DD"/>
    <w:rsid w:val="00767D88"/>
    <w:rsid w:val="0077090A"/>
    <w:rsid w:val="00773E0C"/>
    <w:rsid w:val="00774080"/>
    <w:rsid w:val="007776BC"/>
    <w:rsid w:val="00782E4E"/>
    <w:rsid w:val="007A1CC7"/>
    <w:rsid w:val="00805F2E"/>
    <w:rsid w:val="008104F2"/>
    <w:rsid w:val="00812F80"/>
    <w:rsid w:val="0085391C"/>
    <w:rsid w:val="00856DA8"/>
    <w:rsid w:val="0086200E"/>
    <w:rsid w:val="008724E4"/>
    <w:rsid w:val="008725AF"/>
    <w:rsid w:val="008741F7"/>
    <w:rsid w:val="00876643"/>
    <w:rsid w:val="008873F7"/>
    <w:rsid w:val="0089341B"/>
    <w:rsid w:val="00895575"/>
    <w:rsid w:val="008965DE"/>
    <w:rsid w:val="008A193E"/>
    <w:rsid w:val="008B3CCB"/>
    <w:rsid w:val="008C2445"/>
    <w:rsid w:val="008D64FB"/>
    <w:rsid w:val="008D729E"/>
    <w:rsid w:val="008E0588"/>
    <w:rsid w:val="008E1443"/>
    <w:rsid w:val="008E40E7"/>
    <w:rsid w:val="00906626"/>
    <w:rsid w:val="00911218"/>
    <w:rsid w:val="00915946"/>
    <w:rsid w:val="0091650F"/>
    <w:rsid w:val="009274E0"/>
    <w:rsid w:val="00931B31"/>
    <w:rsid w:val="009354FC"/>
    <w:rsid w:val="00937453"/>
    <w:rsid w:val="0094427C"/>
    <w:rsid w:val="009457E6"/>
    <w:rsid w:val="009504FB"/>
    <w:rsid w:val="00962A65"/>
    <w:rsid w:val="00962FEF"/>
    <w:rsid w:val="00963927"/>
    <w:rsid w:val="00976BC1"/>
    <w:rsid w:val="009962E2"/>
    <w:rsid w:val="009C163D"/>
    <w:rsid w:val="009E333F"/>
    <w:rsid w:val="009E4E31"/>
    <w:rsid w:val="009E657C"/>
    <w:rsid w:val="00A134FA"/>
    <w:rsid w:val="00A13558"/>
    <w:rsid w:val="00A2151F"/>
    <w:rsid w:val="00A23210"/>
    <w:rsid w:val="00A34605"/>
    <w:rsid w:val="00A41BC6"/>
    <w:rsid w:val="00A4409E"/>
    <w:rsid w:val="00A63D32"/>
    <w:rsid w:val="00A87A8A"/>
    <w:rsid w:val="00AA20D6"/>
    <w:rsid w:val="00AB1753"/>
    <w:rsid w:val="00AB538A"/>
    <w:rsid w:val="00AC07E1"/>
    <w:rsid w:val="00AC69AA"/>
    <w:rsid w:val="00AD75C1"/>
    <w:rsid w:val="00AF0F06"/>
    <w:rsid w:val="00AF0F33"/>
    <w:rsid w:val="00AF5F01"/>
    <w:rsid w:val="00B01BF1"/>
    <w:rsid w:val="00B15F14"/>
    <w:rsid w:val="00B16194"/>
    <w:rsid w:val="00B1713C"/>
    <w:rsid w:val="00B24153"/>
    <w:rsid w:val="00B24C52"/>
    <w:rsid w:val="00B25A44"/>
    <w:rsid w:val="00B32DD0"/>
    <w:rsid w:val="00B41939"/>
    <w:rsid w:val="00B43F93"/>
    <w:rsid w:val="00B456FF"/>
    <w:rsid w:val="00B46FC6"/>
    <w:rsid w:val="00B47582"/>
    <w:rsid w:val="00B521D3"/>
    <w:rsid w:val="00B61785"/>
    <w:rsid w:val="00B70024"/>
    <w:rsid w:val="00B715E5"/>
    <w:rsid w:val="00B94081"/>
    <w:rsid w:val="00BB1341"/>
    <w:rsid w:val="00BB3E72"/>
    <w:rsid w:val="00BB5E94"/>
    <w:rsid w:val="00BC0712"/>
    <w:rsid w:val="00BC4D3A"/>
    <w:rsid w:val="00BE5B68"/>
    <w:rsid w:val="00C01915"/>
    <w:rsid w:val="00C035FD"/>
    <w:rsid w:val="00C040D2"/>
    <w:rsid w:val="00C20D6D"/>
    <w:rsid w:val="00C233F4"/>
    <w:rsid w:val="00C2360C"/>
    <w:rsid w:val="00C36D99"/>
    <w:rsid w:val="00C41D11"/>
    <w:rsid w:val="00C50582"/>
    <w:rsid w:val="00C52480"/>
    <w:rsid w:val="00C56E90"/>
    <w:rsid w:val="00C770AC"/>
    <w:rsid w:val="00C80C46"/>
    <w:rsid w:val="00CA0F0E"/>
    <w:rsid w:val="00CA197E"/>
    <w:rsid w:val="00CB0B4C"/>
    <w:rsid w:val="00CB2332"/>
    <w:rsid w:val="00CB7D73"/>
    <w:rsid w:val="00CC0458"/>
    <w:rsid w:val="00CC0B55"/>
    <w:rsid w:val="00CC0D8B"/>
    <w:rsid w:val="00CC6D35"/>
    <w:rsid w:val="00CD367F"/>
    <w:rsid w:val="00CF22A6"/>
    <w:rsid w:val="00CF29F0"/>
    <w:rsid w:val="00CF2A1F"/>
    <w:rsid w:val="00CF4344"/>
    <w:rsid w:val="00CF55F1"/>
    <w:rsid w:val="00D02646"/>
    <w:rsid w:val="00D02E15"/>
    <w:rsid w:val="00D13F70"/>
    <w:rsid w:val="00D14DAC"/>
    <w:rsid w:val="00D16BF8"/>
    <w:rsid w:val="00D21432"/>
    <w:rsid w:val="00D312C1"/>
    <w:rsid w:val="00D4026C"/>
    <w:rsid w:val="00D60146"/>
    <w:rsid w:val="00D60585"/>
    <w:rsid w:val="00D62831"/>
    <w:rsid w:val="00D76CF2"/>
    <w:rsid w:val="00D83C52"/>
    <w:rsid w:val="00D94930"/>
    <w:rsid w:val="00DA5F69"/>
    <w:rsid w:val="00DA6426"/>
    <w:rsid w:val="00DB5407"/>
    <w:rsid w:val="00DC43CB"/>
    <w:rsid w:val="00DD216C"/>
    <w:rsid w:val="00DE3219"/>
    <w:rsid w:val="00DE371E"/>
    <w:rsid w:val="00E07A7F"/>
    <w:rsid w:val="00E14755"/>
    <w:rsid w:val="00E15DDA"/>
    <w:rsid w:val="00E24FF1"/>
    <w:rsid w:val="00E46F2E"/>
    <w:rsid w:val="00E54E33"/>
    <w:rsid w:val="00E852A2"/>
    <w:rsid w:val="00EA384A"/>
    <w:rsid w:val="00EA54CA"/>
    <w:rsid w:val="00EA77B4"/>
    <w:rsid w:val="00ED373D"/>
    <w:rsid w:val="00EF5784"/>
    <w:rsid w:val="00F04577"/>
    <w:rsid w:val="00F1492F"/>
    <w:rsid w:val="00F200BA"/>
    <w:rsid w:val="00F37CB7"/>
    <w:rsid w:val="00F43C99"/>
    <w:rsid w:val="00F53FEE"/>
    <w:rsid w:val="00F542EB"/>
    <w:rsid w:val="00F65ECB"/>
    <w:rsid w:val="00F83874"/>
    <w:rsid w:val="00F84B4F"/>
    <w:rsid w:val="00FA04C3"/>
    <w:rsid w:val="00FA0CA3"/>
    <w:rsid w:val="00FA4AF7"/>
    <w:rsid w:val="00FA5536"/>
    <w:rsid w:val="00FC2479"/>
    <w:rsid w:val="00FC3E04"/>
    <w:rsid w:val="00FC4E1C"/>
    <w:rsid w:val="00FD74EE"/>
    <w:rsid w:val="00FE353B"/>
    <w:rsid w:val="00FE3AFD"/>
    <w:rsid w:val="00FE5BA4"/>
    <w:rsid w:val="4DFBB38D"/>
    <w:rsid w:val="6BF925D1"/>
    <w:rsid w:val="6EF41F53"/>
    <w:rsid w:val="760BD9E4"/>
    <w:rsid w:val="76EFC7E9"/>
    <w:rsid w:val="77B700B1"/>
    <w:rsid w:val="9FFF06E2"/>
    <w:rsid w:val="ACF60297"/>
    <w:rsid w:val="B6E5692C"/>
    <w:rsid w:val="BDFD00CE"/>
    <w:rsid w:val="BFDFE897"/>
    <w:rsid w:val="C99F8131"/>
    <w:rsid w:val="DBAED490"/>
    <w:rsid w:val="F1EFAC02"/>
    <w:rsid w:val="FA67045C"/>
    <w:rsid w:val="FF7DF0F4"/>
    <w:rsid w:val="FFFF0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Date"/>
    <w:basedOn w:val="1"/>
    <w:next w:val="1"/>
    <w:link w:val="15"/>
    <w:semiHidden/>
    <w:unhideWhenUsed/>
    <w:qFormat/>
    <w:uiPriority w:val="99"/>
    <w:pPr>
      <w:ind w:left="100" w:leftChars="2500"/>
    </w:pPr>
  </w:style>
  <w:style w:type="paragraph" w:styleId="4">
    <w:name w:val="Balloon Text"/>
    <w:basedOn w:val="1"/>
    <w:link w:val="14"/>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character" w:customStyle="1" w:styleId="11">
    <w:name w:val="正文文本 Char"/>
    <w:basedOn w:val="8"/>
    <w:semiHidden/>
    <w:qFormat/>
    <w:uiPriority w:val="99"/>
    <w:rPr>
      <w:rFonts w:ascii="Calibri" w:hAnsi="Calibri" w:eastAsia="宋体" w:cs="Times New Roman"/>
      <w:szCs w:val="24"/>
    </w:rPr>
  </w:style>
  <w:style w:type="character" w:customStyle="1" w:styleId="12">
    <w:name w:val="正文文本 Char1"/>
    <w:link w:val="2"/>
    <w:qFormat/>
    <w:uiPriority w:val="1"/>
    <w:rPr>
      <w:rFonts w:ascii="Arial Unicode MS" w:hAnsi="Times New Roman" w:eastAsia="Arial Unicode MS" w:cs="Times New Roman"/>
      <w:kern w:val="0"/>
      <w:sz w:val="32"/>
      <w:szCs w:val="32"/>
    </w:rPr>
  </w:style>
  <w:style w:type="paragraph" w:customStyle="1" w:styleId="13">
    <w:name w:val="2文本"/>
    <w:qFormat/>
    <w:uiPriority w:val="0"/>
    <w:pPr>
      <w:widowControl w:val="0"/>
      <w:suppressAutoHyphens/>
      <w:ind w:firstLine="200"/>
      <w:jc w:val="both"/>
    </w:pPr>
    <w:rPr>
      <w:rFonts w:ascii="Times New Roman" w:hAnsi="Times New Roman" w:eastAsia="宋体" w:cs="Times New Roman"/>
      <w:color w:val="000000"/>
      <w:kern w:val="1"/>
      <w:sz w:val="20"/>
      <w:szCs w:val="20"/>
      <w:lang w:val="en-US" w:eastAsia="zh-CN" w:bidi="ar-SA"/>
    </w:rPr>
  </w:style>
  <w:style w:type="character" w:customStyle="1" w:styleId="14">
    <w:name w:val="批注框文本 Char"/>
    <w:basedOn w:val="8"/>
    <w:link w:val="4"/>
    <w:semiHidden/>
    <w:qFormat/>
    <w:uiPriority w:val="99"/>
    <w:rPr>
      <w:rFonts w:ascii="Calibri" w:hAnsi="Calibri" w:eastAsia="宋体" w:cs="Times New Roman"/>
      <w:sz w:val="18"/>
      <w:szCs w:val="18"/>
    </w:rPr>
  </w:style>
  <w:style w:type="character" w:customStyle="1" w:styleId="15">
    <w:name w:val="日期 Char"/>
    <w:basedOn w:val="8"/>
    <w:link w:val="3"/>
    <w:semiHidden/>
    <w:qFormat/>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天津市北辰区市场和质量监督管理局</Company>
  <Pages>4</Pages>
  <Words>339</Words>
  <Characters>1938</Characters>
  <Lines>16</Lines>
  <Paragraphs>4</Paragraphs>
  <TotalTime>6</TotalTime>
  <ScaleCrop>false</ScaleCrop>
  <LinksUpToDate>false</LinksUpToDate>
  <CharactersWithSpaces>2273</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2021-08-07T18:58:00Z</dcterms:created>
  <dc:creator>林正禄</dc:creator>
  <cp:lastModifiedBy>admin</cp:lastModifiedBy>
  <cp:lastPrinted>2021-08-22T22:35:00Z</cp:lastPrinted>
  <dcterms:modified xsi:type="dcterms:W3CDTF">2022-10-28T13:52:39Z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