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40" w:lineRule="exact"/>
        <w:jc w:val="center"/>
        <w:textAlignment w:val="auto"/>
        <w:rPr>
          <w:rFonts w:ascii="Times New Roman" w:hAnsi="Times New Roman" w:eastAsia="方正小标宋简体" w:cs="方正小标宋简体"/>
          <w:bCs/>
          <w:snapToGrid/>
          <w:kern w:val="2"/>
          <w:sz w:val="44"/>
          <w:szCs w:val="44"/>
          <w:u w:val="none"/>
        </w:rPr>
      </w:pPr>
      <w:r>
        <w:rPr>
          <w:rFonts w:hint="eastAsia" w:ascii="Times New Roman" w:hAnsi="Times New Roman" w:eastAsia="方正小标宋简体" w:cs="方正小标宋简体"/>
          <w:bCs/>
          <w:snapToGrid/>
          <w:kern w:val="2"/>
          <w:sz w:val="44"/>
          <w:szCs w:val="44"/>
          <w:u w:val="none"/>
        </w:rPr>
        <w:t>天津市北辰区</w:t>
      </w:r>
      <w:r>
        <w:rPr>
          <w:rFonts w:ascii="Times New Roman" w:hAnsi="Times New Roman" w:eastAsia="方正小标宋简体" w:cs="方正小标宋简体"/>
          <w:bCs/>
          <w:snapToGrid/>
          <w:kern w:val="2"/>
          <w:sz w:val="44"/>
          <w:szCs w:val="44"/>
          <w:u w:val="none"/>
        </w:rPr>
        <w:t>市场监督管理局</w:t>
      </w:r>
    </w:p>
    <w:p>
      <w:pPr>
        <w:widowControl w:val="0"/>
        <w:kinsoku/>
        <w:autoSpaceDE/>
        <w:autoSpaceDN/>
        <w:adjustRightInd/>
        <w:snapToGrid/>
        <w:spacing w:line="640" w:lineRule="exact"/>
        <w:jc w:val="center"/>
        <w:textAlignment w:val="auto"/>
        <w:rPr>
          <w:rFonts w:ascii="Times New Roman" w:hAnsi="Times New Roman" w:eastAsia="方正小标宋简体" w:cs="方正小标宋简体"/>
          <w:bCs/>
          <w:snapToGrid/>
          <w:kern w:val="2"/>
          <w:sz w:val="44"/>
          <w:szCs w:val="44"/>
          <w:u w:val="none"/>
        </w:rPr>
      </w:pPr>
      <w:r>
        <w:rPr>
          <w:rFonts w:ascii="Times New Roman" w:hAnsi="Times New Roman" w:eastAsia="方正小标宋简体" w:cs="方正小标宋简体"/>
          <w:bCs/>
          <w:snapToGrid/>
          <w:kern w:val="2"/>
          <w:sz w:val="44"/>
          <w:szCs w:val="44"/>
          <w:u w:val="none"/>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after="156" w:afterLines="50" w:line="640" w:lineRule="atLeast"/>
        <w:ind w:firstLine="2217"/>
        <w:textAlignment w:val="baseline"/>
        <w:rPr>
          <w:rFonts w:ascii="仿宋" w:hAnsi="仿宋" w:eastAsia="仿宋" w:cs="仿宋"/>
          <w:spacing w:val="-7"/>
          <w:sz w:val="32"/>
          <w:szCs w:val="32"/>
          <w:u w:val="none"/>
        </w:rPr>
      </w:pPr>
      <w:r>
        <w:rPr>
          <w:rFonts w:hint="eastAsia" w:ascii="仿宋" w:hAnsi="仿宋" w:eastAsia="仿宋" w:cs="Microsoft JhengHei"/>
          <w:sz w:val="32"/>
          <w:szCs w:val="32"/>
          <w:u w:val="none"/>
        </w:rPr>
        <w:t>津</w:t>
      </w:r>
      <w:r>
        <w:rPr>
          <w:rFonts w:ascii="仿宋" w:hAnsi="仿宋" w:eastAsia="仿宋" w:cs="Microsoft JhengHei"/>
          <w:sz w:val="32"/>
          <w:szCs w:val="32"/>
          <w:u w:val="none"/>
        </w:rPr>
        <w:t>辰</w:t>
      </w:r>
      <w:r>
        <w:rPr>
          <w:rFonts w:ascii="仿宋" w:hAnsi="仿宋" w:eastAsia="仿宋" w:cs="仿宋"/>
          <w:spacing w:val="-7"/>
          <w:sz w:val="32"/>
          <w:szCs w:val="32"/>
          <w:u w:val="none"/>
        </w:rPr>
        <w:t>市监处罚〔</w:t>
      </w:r>
      <w:r>
        <w:rPr>
          <w:rFonts w:hint="eastAsia" w:ascii="Calibri" w:hAnsi="Calibri" w:eastAsia="仿宋_GB2312" w:cs="仿宋_GB2312"/>
          <w:bCs/>
          <w:snapToGrid/>
          <w:kern w:val="2"/>
          <w:sz w:val="32"/>
          <w:szCs w:val="32"/>
          <w:u w:val="none"/>
          <w:lang w:val="en-US" w:eastAsia="zh-CN"/>
        </w:rPr>
        <w:t>2022</w:t>
      </w:r>
      <w:r>
        <w:rPr>
          <w:rFonts w:ascii="仿宋" w:hAnsi="仿宋" w:eastAsia="仿宋" w:cs="仿宋"/>
          <w:spacing w:val="-7"/>
          <w:sz w:val="32"/>
          <w:szCs w:val="32"/>
          <w:u w:val="none"/>
        </w:rPr>
        <w:t>〕</w:t>
      </w:r>
      <w:r>
        <w:rPr>
          <w:rFonts w:hint="eastAsia" w:ascii="Calibri" w:hAnsi="Calibri" w:eastAsia="仿宋_GB2312" w:cs="仿宋_GB2312"/>
          <w:bCs/>
          <w:snapToGrid/>
          <w:kern w:val="2"/>
          <w:sz w:val="32"/>
          <w:szCs w:val="32"/>
          <w:u w:val="none"/>
          <w:lang w:val="en-US" w:eastAsia="zh-CN"/>
        </w:rPr>
        <w:t>586</w:t>
      </w:r>
      <w:r>
        <w:rPr>
          <w:rFonts w:ascii="仿宋" w:hAnsi="仿宋" w:eastAsia="仿宋" w:cs="仿宋"/>
          <w:spacing w:val="-7"/>
          <w:sz w:val="32"/>
          <w:szCs w:val="32"/>
          <w:u w:val="none"/>
        </w:rPr>
        <w:t>号</w:t>
      </w:r>
    </w:p>
    <w:p>
      <w:pPr>
        <w:widowControl/>
        <w:kinsoku/>
        <w:autoSpaceDE/>
        <w:autoSpaceDN/>
        <w:adjustRightInd/>
        <w:snapToGrid/>
        <w:spacing w:after="156" w:afterLines="50"/>
        <w:jc w:val="both"/>
        <w:textAlignment w:val="auto"/>
        <w:rPr>
          <w:rFonts w:ascii="仿宋" w:hAnsi="仿宋" w:eastAsia="仿宋" w:cs="仿宋_GB2312"/>
          <w:snapToGrid/>
          <w:kern w:val="2"/>
          <w:sz w:val="32"/>
          <w:szCs w:val="32"/>
          <w:u w:val="none"/>
        </w:rPr>
      </w:pPr>
      <w:bookmarkStart w:id="0" w:name="_GoBack"/>
      <w:bookmarkEnd w:id="0"/>
      <w:r>
        <w:rPr>
          <w:rFonts w:hint="eastAsia" w:ascii="仿宋" w:hAnsi="仿宋" w:eastAsia="仿宋" w:cs="仿宋_GB2312"/>
          <w:snapToGrid/>
          <w:kern w:val="2"/>
          <w:sz w:val="32"/>
          <w:szCs w:val="32"/>
          <w:u w:val="none"/>
        </w:rPr>
        <w:t>名    称：天津市北辰区宝星圆生鲜超市；</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统一社会信用代码：92120113MA07CWBQ9Y；</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类    型：个体工商户；</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住    所：天津市北辰区双环邨街道佳园南里中心路市场东北楼1层；</w:t>
      </w:r>
    </w:p>
    <w:p>
      <w:pPr>
        <w:widowControl w:val="0"/>
        <w:kinsoku/>
        <w:autoSpaceDE/>
        <w:autoSpaceDN/>
        <w:adjustRightInd/>
        <w:snapToGrid/>
        <w:spacing w:line="480" w:lineRule="exact"/>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经 营 者</w:t>
      </w:r>
      <w:r>
        <w:rPr>
          <w:rFonts w:ascii="仿宋" w:hAnsi="仿宋" w:eastAsia="仿宋" w:cs="仿宋_GB2312"/>
          <w:snapToGrid/>
          <w:kern w:val="2"/>
          <w:sz w:val="32"/>
          <w:szCs w:val="32"/>
          <w:u w:val="none"/>
        </w:rPr>
        <w:t>：</w:t>
      </w:r>
      <w:r>
        <w:rPr>
          <w:rFonts w:hint="eastAsia" w:ascii="仿宋" w:hAnsi="仿宋" w:eastAsia="仿宋" w:cs="仿宋_GB2312"/>
          <w:snapToGrid/>
          <w:kern w:val="2"/>
          <w:sz w:val="32"/>
          <w:szCs w:val="32"/>
          <w:u w:val="none"/>
          <w:lang w:eastAsia="zh-CN"/>
        </w:rPr>
        <w:t>白雪东</w:t>
      </w:r>
      <w:r>
        <w:rPr>
          <w:rFonts w:ascii="仿宋" w:hAnsi="仿宋" w:eastAsia="仿宋" w:cs="仿宋_GB2312"/>
          <w:snapToGrid/>
          <w:kern w:val="2"/>
          <w:sz w:val="32"/>
          <w:szCs w:val="32"/>
          <w:u w:val="none"/>
        </w:rPr>
        <w:t>；</w:t>
      </w:r>
    </w:p>
    <w:p>
      <w:pPr>
        <w:widowControl w:val="0"/>
        <w:kinsoku/>
        <w:autoSpaceDE/>
        <w:autoSpaceDN/>
        <w:adjustRightInd/>
        <w:snapToGrid/>
        <w:spacing w:line="480" w:lineRule="exact"/>
        <w:jc w:val="both"/>
        <w:textAlignment w:val="auto"/>
        <w:rPr>
          <w:rFonts w:hint="eastAsia" w:ascii="仿宋" w:hAnsi="仿宋" w:eastAsia="仿宋" w:cs="仿宋_GB2312"/>
          <w:b/>
          <w:bCs/>
          <w:snapToGrid/>
          <w:kern w:val="2"/>
          <w:sz w:val="32"/>
          <w:szCs w:val="32"/>
          <w:u w:val="none"/>
          <w:lang w:val="en-US" w:eastAsia="zh-CN"/>
        </w:rPr>
      </w:pPr>
      <w:r>
        <w:rPr>
          <w:rFonts w:hint="eastAsia" w:ascii="仿宋" w:hAnsi="仿宋" w:eastAsia="仿宋" w:cs="仿宋_GB2312"/>
          <w:snapToGrid/>
          <w:kern w:val="2"/>
          <w:sz w:val="32"/>
          <w:szCs w:val="32"/>
          <w:u w:val="none"/>
        </w:rPr>
        <w:t>身份证件号码：</w:t>
      </w:r>
      <w:r>
        <w:rPr>
          <w:rFonts w:hint="eastAsia" w:ascii="仿宋" w:hAnsi="仿宋" w:eastAsia="仿宋" w:cs="仿宋_GB2312"/>
          <w:snapToGrid/>
          <w:kern w:val="2"/>
          <w:sz w:val="32"/>
          <w:szCs w:val="32"/>
          <w:u w:val="none"/>
          <w:lang w:val="en-US" w:eastAsia="zh-CN"/>
        </w:rPr>
        <w:t>/</w:t>
      </w:r>
    </w:p>
    <w:p>
      <w:pPr>
        <w:widowControl w:val="0"/>
        <w:kinsoku/>
        <w:autoSpaceDE/>
        <w:autoSpaceDN/>
        <w:adjustRightInd/>
        <w:snapToGrid/>
        <w:spacing w:line="480" w:lineRule="exact"/>
        <w:jc w:val="both"/>
        <w:textAlignment w:val="auto"/>
        <w:rPr>
          <w:rFonts w:hint="eastAsia" w:ascii="仿宋" w:hAnsi="仿宋" w:eastAsia="仿宋" w:cs="仿宋_GB2312"/>
          <w:snapToGrid/>
          <w:kern w:val="2"/>
          <w:sz w:val="32"/>
          <w:szCs w:val="32"/>
          <w:u w:val="none"/>
        </w:rPr>
      </w:pP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案件来源、调查经过及采取行政强制措施的情况：</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8月3日，我局收到举报称天津市北辰区宝星圆生鲜超市销售过期食品。当日执法人员前往现场检查，现场货架上查到待售的“巧小鲁”牌低脂肪鸡胸肉4袋，生产日期为2021年11月01日，保质期为9个月，检查时已过期。当事人该行为涉嫌违反了《中华人民共和国食品安全法》第三十四条第十项的规定。</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执法人员下达《实施行政强制措施决定书》，对上述物品进行了扣押。</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我局于2022年8月</w:t>
      </w:r>
      <w:r>
        <w:rPr>
          <w:rFonts w:hint="eastAsia" w:ascii="仿宋" w:hAnsi="仿宋" w:eastAsia="仿宋" w:cs="仿宋_GB2312"/>
          <w:snapToGrid/>
          <w:kern w:val="2"/>
          <w:sz w:val="32"/>
          <w:szCs w:val="32"/>
          <w:u w:val="none"/>
          <w:lang w:val="en-US" w:eastAsia="zh-CN"/>
        </w:rPr>
        <w:t>3</w:t>
      </w:r>
      <w:r>
        <w:rPr>
          <w:rFonts w:hint="eastAsia" w:ascii="仿宋" w:hAnsi="仿宋" w:eastAsia="仿宋" w:cs="仿宋_GB2312"/>
          <w:snapToGrid/>
          <w:kern w:val="2"/>
          <w:sz w:val="32"/>
          <w:szCs w:val="32"/>
          <w:u w:val="none"/>
        </w:rPr>
        <w:t>日对其立案调查，依据《中华人民共和国行政处罚法》第二十八条第一款的规定，向当事人下达责令改正通知书，责令当事人改正违法行为，当事人于经营场所处当场签收。</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2022年9月16日，负责人白雪东到我局接受询问调查并提交食品供货者的营业执照、食品经营许可证和进货票据等相关材料，说明情况。</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2022年9月19日，执法人员再次对当事人</w:t>
      </w:r>
      <w:r>
        <w:rPr>
          <w:rFonts w:hint="eastAsia" w:ascii="仿宋" w:hAnsi="仿宋" w:eastAsia="仿宋" w:cs="仿宋_GB2312"/>
          <w:snapToGrid/>
          <w:kern w:val="2"/>
          <w:sz w:val="32"/>
          <w:szCs w:val="32"/>
          <w:u w:val="none"/>
          <w:lang w:eastAsia="zh-CN"/>
        </w:rPr>
        <w:t>经营</w:t>
      </w:r>
      <w:r>
        <w:rPr>
          <w:rFonts w:hint="eastAsia" w:ascii="仿宋" w:hAnsi="仿宋" w:eastAsia="仿宋" w:cs="仿宋_GB2312"/>
          <w:snapToGrid/>
          <w:kern w:val="2"/>
          <w:sz w:val="32"/>
          <w:szCs w:val="32"/>
          <w:u w:val="none"/>
        </w:rPr>
        <w:t>超过保质期食品的情况进行检查。</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2022年9月19日，案件调查终结。</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调查认定的事实：</w:t>
      </w:r>
    </w:p>
    <w:p>
      <w:pPr>
        <w:widowControl w:val="0"/>
        <w:kinsoku/>
        <w:autoSpaceDE/>
        <w:autoSpaceDN/>
        <w:adjustRightInd/>
        <w:snapToGri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当事人2021年6月29日取得营业执照，2021年7月20日取得食品经营许可证从事食品销售。</w:t>
      </w:r>
      <w:r>
        <w:rPr>
          <w:rFonts w:hint="eastAsia" w:ascii="仿宋" w:hAnsi="仿宋" w:eastAsia="仿宋" w:cs="仿宋_GB2312"/>
          <w:snapToGrid/>
          <w:kern w:val="2"/>
          <w:sz w:val="32"/>
          <w:szCs w:val="32"/>
          <w:u w:val="none"/>
          <w:lang w:val="en-US" w:eastAsia="zh-CN"/>
        </w:rPr>
        <w:t>2</w:t>
      </w:r>
      <w:r>
        <w:rPr>
          <w:rFonts w:hint="eastAsia" w:ascii="仿宋" w:hAnsi="仿宋" w:eastAsia="仿宋" w:cs="仿宋_GB2312"/>
          <w:snapToGrid/>
          <w:kern w:val="2"/>
          <w:sz w:val="32"/>
          <w:szCs w:val="32"/>
          <w:u w:val="none"/>
        </w:rPr>
        <w:t>022年1月12日，当事人从天津市优品源商贸有限公司购进8袋“巧小鲁”牌低脂肪鸡胸肉（袋装，净含量100g，生产日期2021.11.01，保质期9个月）于店内销售。2022年8月3日，当事人向举报人售出上述批次“巧小鲁”牌低脂肪鸡胸肉1袋，售出时已过保质期。2022年8月3日，我局执法人员现场检查，现场货架上查到待售的上述批次“巧小鲁”牌低脂肪鸡胸肉4袋，进货价为5.2元/袋，标签价6.5元/袋，查获时已过期，过期后累计销售1袋。当事人上述行为满足经营超过保质期的食品行为的构成要件。超过保质期的货值金额共</w:t>
      </w:r>
      <w:r>
        <w:rPr>
          <w:rFonts w:hint="eastAsia" w:ascii="仿宋" w:hAnsi="仿宋" w:eastAsia="仿宋" w:cs="仿宋_GB2312"/>
          <w:snapToGrid/>
          <w:kern w:val="2"/>
          <w:sz w:val="32"/>
          <w:szCs w:val="32"/>
          <w:u w:val="none"/>
          <w:lang w:val="en-US" w:eastAsia="zh-CN"/>
        </w:rPr>
        <w:t>32.5</w:t>
      </w:r>
      <w:r>
        <w:rPr>
          <w:rFonts w:hint="eastAsia" w:ascii="仿宋" w:hAnsi="仿宋" w:eastAsia="仿宋" w:cs="仿宋_GB2312"/>
          <w:snapToGrid/>
          <w:kern w:val="2"/>
          <w:sz w:val="32"/>
          <w:szCs w:val="32"/>
          <w:u w:val="none"/>
        </w:rPr>
        <w:t>元，查实违法所得</w:t>
      </w:r>
      <w:r>
        <w:rPr>
          <w:rFonts w:hint="eastAsia" w:ascii="仿宋" w:hAnsi="仿宋" w:eastAsia="仿宋" w:cs="仿宋_GB2312"/>
          <w:snapToGrid/>
          <w:kern w:val="2"/>
          <w:sz w:val="32"/>
          <w:szCs w:val="32"/>
          <w:u w:val="none"/>
          <w:lang w:val="en-US" w:eastAsia="zh-CN"/>
        </w:rPr>
        <w:t>1.3元</w:t>
      </w:r>
      <w:r>
        <w:rPr>
          <w:rFonts w:hint="eastAsia" w:ascii="仿宋" w:hAnsi="仿宋" w:eastAsia="仿宋" w:cs="仿宋_GB2312"/>
          <w:snapToGrid/>
          <w:kern w:val="2"/>
          <w:sz w:val="32"/>
          <w:szCs w:val="32"/>
          <w:u w:val="none"/>
        </w:rPr>
        <w:t>。</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上述事实，主要有以下证据证明：</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1.当事人的营业执照、食品经营许可证、负责人白雪东的身份证复印件，证明当事人的主体资格和经营者身份；</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2.举报人的购物小票、第一次现场检查笔录、现场照片及录像，证明当事人经营超过保质期的食品的情况；</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3.《实施行政强制措施决定书》、《财物清单》（津辰市监双环强制〔2022〕6号）、《延长行政强制措施期限决定书》（津辰市监双环延强〔2022〕2号），证明执法人员依法对当事人扣押财物的事实；</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4.当事人提供的食品供货商资质、进货票据，证明食品来源及当事人履行进货查验义务的情况</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5.当事人所售的“巧小鲁”牌低脂肪鸡胸肉2022年8月1日至8月3日的销售流水单、货值金额与违法所得计算表，证明当事人违法所得情况；</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6.对当事人白雪东的询问笔录，证明经营超过保质期食品的事实情节；</w:t>
      </w:r>
    </w:p>
    <w:p>
      <w:pPr>
        <w:widowControl w:val="0"/>
        <w:spacing w:line="480" w:lineRule="exact"/>
        <w:ind w:firstLine="640" w:firstLineChars="200"/>
        <w:jc w:val="both"/>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7.第二次现场检查笔录、现场照片，证明当事人已经改正违法行为的情况；</w:t>
      </w:r>
    </w:p>
    <w:p>
      <w:pPr>
        <w:widowControl w:val="0"/>
        <w:spacing w:line="480" w:lineRule="exact"/>
        <w:ind w:firstLine="640" w:firstLineChars="200"/>
        <w:jc w:val="both"/>
        <w:rPr>
          <w:rFonts w:ascii="仿宋" w:hAnsi="仿宋" w:eastAsia="仿宋" w:cs="仿宋_GB2312"/>
          <w:kern w:val="2"/>
          <w:sz w:val="32"/>
          <w:szCs w:val="32"/>
          <w:u w:val="none"/>
        </w:rPr>
      </w:pPr>
      <w:r>
        <w:rPr>
          <w:rFonts w:hint="eastAsia" w:ascii="仿宋" w:hAnsi="仿宋" w:eastAsia="仿宋" w:cs="仿宋_GB2312"/>
          <w:kern w:val="2"/>
          <w:sz w:val="32"/>
          <w:szCs w:val="32"/>
          <w:u w:val="none"/>
        </w:rPr>
        <w:t>以上证据均有当事人确认签字。</w:t>
      </w:r>
    </w:p>
    <w:p>
      <w:pPr>
        <w:widowControl w:val="0"/>
        <w:spacing w:line="480" w:lineRule="exact"/>
        <w:ind w:firstLine="640" w:firstLineChars="200"/>
        <w:jc w:val="both"/>
        <w:rPr>
          <w:rFonts w:ascii="仿宋" w:hAnsi="仿宋" w:eastAsia="仿宋" w:cs="仿宋_GB2312"/>
          <w:kern w:val="2"/>
          <w:sz w:val="32"/>
          <w:szCs w:val="32"/>
          <w:u w:val="none"/>
        </w:rPr>
      </w:pPr>
      <w:r>
        <w:rPr>
          <w:rFonts w:hint="eastAsia" w:ascii="仿宋" w:hAnsi="仿宋" w:eastAsia="仿宋" w:cs="仿宋_GB2312"/>
          <w:kern w:val="2"/>
          <w:sz w:val="32"/>
          <w:szCs w:val="32"/>
          <w:u w:val="none"/>
        </w:rPr>
        <w:t>本局于2022年</w:t>
      </w:r>
      <w:r>
        <w:rPr>
          <w:rFonts w:hint="eastAsia" w:ascii="仿宋" w:hAnsi="仿宋" w:eastAsia="仿宋" w:cs="仿宋_GB2312"/>
          <w:kern w:val="2"/>
          <w:sz w:val="32"/>
          <w:szCs w:val="32"/>
          <w:u w:val="none"/>
          <w:lang w:val="en-US" w:eastAsia="zh-CN"/>
        </w:rPr>
        <w:t>9</w:t>
      </w:r>
      <w:r>
        <w:rPr>
          <w:rFonts w:hint="eastAsia" w:ascii="仿宋" w:hAnsi="仿宋" w:eastAsia="仿宋" w:cs="仿宋_GB2312"/>
          <w:kern w:val="2"/>
          <w:sz w:val="32"/>
          <w:szCs w:val="32"/>
          <w:u w:val="none"/>
        </w:rPr>
        <w:t>月</w:t>
      </w:r>
      <w:r>
        <w:rPr>
          <w:rFonts w:hint="eastAsia" w:ascii="仿宋" w:hAnsi="仿宋" w:eastAsia="仿宋" w:cs="仿宋_GB2312"/>
          <w:kern w:val="2"/>
          <w:sz w:val="32"/>
          <w:szCs w:val="32"/>
          <w:u w:val="none"/>
          <w:lang w:val="en-US" w:eastAsia="zh-CN"/>
        </w:rPr>
        <w:t>22</w:t>
      </w:r>
      <w:r>
        <w:rPr>
          <w:rFonts w:hint="eastAsia" w:ascii="仿宋" w:hAnsi="仿宋" w:eastAsia="仿宋" w:cs="仿宋_GB2312"/>
          <w:kern w:val="2"/>
          <w:sz w:val="32"/>
          <w:szCs w:val="32"/>
          <w:u w:val="none"/>
        </w:rPr>
        <w:t>日依法向当事人送达了《行政处罚告知书》（津辰市监罚告〔2022〕</w:t>
      </w:r>
      <w:r>
        <w:rPr>
          <w:rFonts w:hint="eastAsia" w:ascii="仿宋" w:hAnsi="仿宋" w:eastAsia="仿宋" w:cs="仿宋_GB2312"/>
          <w:kern w:val="2"/>
          <w:sz w:val="32"/>
          <w:szCs w:val="32"/>
          <w:u w:val="none"/>
          <w:lang w:val="en-US" w:eastAsia="zh-CN"/>
        </w:rPr>
        <w:t>586</w:t>
      </w:r>
      <w:r>
        <w:rPr>
          <w:rFonts w:hint="eastAsia" w:ascii="仿宋" w:hAnsi="仿宋" w:eastAsia="仿宋" w:cs="仿宋_GB2312"/>
          <w:kern w:val="2"/>
          <w:sz w:val="32"/>
          <w:szCs w:val="32"/>
          <w:u w:val="none"/>
        </w:rPr>
        <w:t>号），当事人没有陈述申辩意见。</w:t>
      </w:r>
    </w:p>
    <w:p>
      <w:pPr>
        <w:widowControl w:val="0"/>
        <w:kinsoku/>
        <w:autoSpaceDE/>
        <w:autoSpaceDN/>
        <w:adjustRightInd/>
        <w:spacing w:line="480" w:lineRule="exact"/>
        <w:ind w:firstLine="640" w:firstLineChars="200"/>
        <w:jc w:val="both"/>
        <w:textAlignment w:val="auto"/>
        <w:rPr>
          <w:rFonts w:hint="eastAsia"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本局认为，当事人作为食品经营者，经营超过保质期的食品行为违反了《中华人民共和国食品安全法》第三十四条第十项：“禁止生产经营下列食品、食品添加剂、食品相关产品：（十）标注虚假生产日期、保质期或者超过保质期的食品、食品添加剂”的规定。</w:t>
      </w:r>
    </w:p>
    <w:p>
      <w:pPr>
        <w:widowControl w:val="0"/>
        <w:kinsoku/>
        <w:autoSpaceDE/>
        <w:autoSpaceDN/>
        <w:adjustRightInd/>
        <w:spacing w:after="156" w:afterLines="50"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因当事人积极配合执法人员进行调查并及时改正，如实提供相应证据材料，没有造成严重危害后果，应依据《天津市市场和质量监督管理委员会行政处罚裁量适用规则》第十三条第五项的规定，拟给予减轻处罚。</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处理意见及依据：</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根据《中华人民共和国食品安全法》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p>
    <w:p>
      <w:pPr>
        <w:widowControl w:val="0"/>
        <w:kinsoku/>
        <w:autoSpaceDE/>
        <w:autoSpaceDN/>
        <w:adjustRightInd/>
        <w:snapToGrid/>
        <w:spacing w:line="480" w:lineRule="exact"/>
        <w:ind w:firstLine="640" w:firstLineChars="200"/>
        <w:jc w:val="both"/>
        <w:textAlignment w:val="auto"/>
        <w:rPr>
          <w:rFonts w:ascii="仿宋" w:hAnsi="仿宋" w:eastAsia="仿宋" w:cs="仿宋_GB2312"/>
          <w:snapToGrid/>
          <w:kern w:val="2"/>
          <w:sz w:val="32"/>
          <w:szCs w:val="32"/>
          <w:u w:val="none"/>
        </w:rPr>
      </w:pPr>
      <w:r>
        <w:rPr>
          <w:rFonts w:hint="eastAsia" w:ascii="仿宋" w:hAnsi="仿宋" w:eastAsia="仿宋" w:cs="仿宋_GB2312"/>
          <w:snapToGrid/>
          <w:kern w:val="2"/>
          <w:sz w:val="32"/>
          <w:szCs w:val="32"/>
          <w:u w:val="none"/>
        </w:rPr>
        <w:t>对当事人给予以下行政处罚：1.没收扣押物品“巧小鲁”牌低脂肪鸡胸肉4袋；2.没收违法所得1.3元；3.罚款3000元。</w:t>
      </w:r>
    </w:p>
    <w:p>
      <w:pPr>
        <w:widowControl w:val="0"/>
        <w:tabs>
          <w:tab w:val="left" w:pos="8240"/>
        </w:tabs>
        <w:spacing w:line="520" w:lineRule="exact"/>
        <w:ind w:firstLine="640" w:firstLineChars="200"/>
        <w:rPr>
          <w:rFonts w:ascii="仿宋_GB2312" w:hAnsi="Times New Roman" w:eastAsia="仿宋_GB2312" w:cs="Times New Roman"/>
          <w:sz w:val="32"/>
          <w:szCs w:val="32"/>
          <w:u w:val="none"/>
        </w:rPr>
      </w:pPr>
      <w:r>
        <w:rPr>
          <w:rFonts w:hint="eastAsia" w:ascii="Times New Roman" w:hAnsi="Times New Roman" w:eastAsia="仿宋_GB2312" w:cs="仿宋_GB2312"/>
          <w:bCs/>
          <w:color w:val="auto"/>
          <w:sz w:val="32"/>
          <w:szCs w:val="32"/>
          <w:u w:val="none"/>
        </w:rPr>
        <w:t>当事人应于收到本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w:t>
      </w:r>
      <w:r>
        <w:rPr>
          <w:rFonts w:hint="eastAsia" w:ascii="仿宋_GB2312" w:hAnsi="Times New Roman" w:eastAsia="仿宋_GB2312" w:cs="仿宋_GB2312"/>
          <w:kern w:val="1"/>
          <w:sz w:val="32"/>
          <w:szCs w:val="32"/>
          <w:u w:val="none"/>
        </w:rPr>
        <w:t>网上办事</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栏目</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非税缴费</w:t>
      </w:r>
      <w:r>
        <w:rPr>
          <w:rFonts w:ascii="仿宋_GB2312" w:hAnsi="Times New Roman" w:eastAsia="仿宋_GB2312" w:cs="仿宋_GB2312"/>
          <w:kern w:val="1"/>
          <w:sz w:val="32"/>
          <w:szCs w:val="32"/>
          <w:u w:val="none"/>
        </w:rPr>
        <w:t>”</w:t>
      </w:r>
      <w:r>
        <w:rPr>
          <w:rFonts w:hint="eastAsia" w:ascii="仿宋_GB2312" w:hAnsi="Times New Roman" w:eastAsia="仿宋_GB2312" w:cs="仿宋_GB2312"/>
          <w:kern w:val="1"/>
          <w:sz w:val="32"/>
          <w:szCs w:val="32"/>
          <w:u w:val="none"/>
        </w:rPr>
        <w:t>模块</w:t>
      </w:r>
      <w:r>
        <w:rPr>
          <w:rFonts w:ascii="仿宋_GB2312" w:hAnsi="Times New Roman" w:eastAsia="仿宋_GB2312" w:cs="仿宋_GB2312"/>
          <w:kern w:val="1"/>
          <w:sz w:val="32"/>
          <w:szCs w:val="32"/>
          <w:u w:val="none"/>
        </w:rPr>
        <w:t>进行网上缴费。</w:t>
      </w:r>
      <w:r>
        <w:rPr>
          <w:rFonts w:hint="eastAsia" w:ascii="仿宋_GB2312" w:hAnsi="Times New Roman" w:eastAsia="仿宋_GB2312" w:cs="Times New Roman"/>
          <w:sz w:val="32"/>
          <w:szCs w:val="32"/>
          <w:u w:val="none"/>
        </w:rPr>
        <w:t>到期不缴纳罚款的，依据《中华人民共和国行政处罚法》第七十二条的规定，本局</w:t>
      </w:r>
      <w:r>
        <w:rPr>
          <w:rFonts w:ascii="仿宋_GB2312" w:hAnsi="Times New Roman" w:eastAsia="仿宋_GB2312" w:cs="Times New Roman"/>
          <w:sz w:val="32"/>
          <w:szCs w:val="32"/>
          <w:u w:val="none"/>
        </w:rPr>
        <w:t>将</w:t>
      </w:r>
      <w:r>
        <w:rPr>
          <w:rFonts w:hint="eastAsia" w:ascii="仿宋_GB2312" w:hAnsi="Times New Roman" w:eastAsia="仿宋_GB2312" w:cs="Times New Roman"/>
          <w:sz w:val="32"/>
          <w:szCs w:val="32"/>
          <w:u w:val="none"/>
        </w:rPr>
        <w:t>每日按罚款数额的百分之三加处罚款，</w:t>
      </w:r>
      <w:r>
        <w:rPr>
          <w:rFonts w:hint="eastAsia" w:ascii="仿宋_GB2312" w:hAnsi="宋体" w:eastAsia="仿宋_GB2312" w:cs="Times New Roman"/>
          <w:sz w:val="32"/>
          <w:szCs w:val="32"/>
          <w:u w:val="none"/>
        </w:rPr>
        <w:t>并将依法申请人民法院强制执行。</w:t>
      </w:r>
    </w:p>
    <w:p>
      <w:pPr>
        <w:kinsoku/>
        <w:autoSpaceDE/>
        <w:autoSpaceDN/>
        <w:adjustRightInd/>
        <w:spacing w:line="520" w:lineRule="exact"/>
        <w:ind w:firstLine="640" w:firstLineChars="200"/>
        <w:textAlignment w:val="auto"/>
        <w:rPr>
          <w:rFonts w:ascii="Times New Roman" w:hAnsi="Times New Roman" w:eastAsia="仿宋_GB2312" w:cs="仿宋_GB2312"/>
          <w:snapToGrid/>
          <w:kern w:val="2"/>
          <w:sz w:val="32"/>
          <w:szCs w:val="32"/>
          <w:u w:val="none"/>
        </w:rPr>
      </w:pPr>
      <w:r>
        <w:rPr>
          <w:rFonts w:hint="eastAsia" w:ascii="Times New Roman" w:hAnsi="Times New Roman" w:eastAsia="仿宋_GB2312" w:cs="仿宋"/>
          <w:bCs/>
          <w:snapToGrid/>
          <w:kern w:val="2"/>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kinsoku/>
        <w:autoSpaceDE/>
        <w:autoSpaceDN/>
        <w:adjustRightInd/>
        <w:spacing w:line="520" w:lineRule="exact"/>
        <w:textAlignment w:val="auto"/>
        <w:rPr>
          <w:rFonts w:ascii="Times New Roman" w:hAnsi="Times New Roman" w:eastAsia="仿宋_GB2312" w:cs="仿宋_GB2312"/>
          <w:snapToGrid/>
          <w:kern w:val="2"/>
          <w:sz w:val="32"/>
          <w:szCs w:val="32"/>
          <w:u w:val="none"/>
        </w:rPr>
      </w:pPr>
    </w:p>
    <w:p>
      <w:pPr>
        <w:spacing w:line="480" w:lineRule="exact"/>
        <w:ind w:firstLine="601"/>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p>
    <w:p>
      <w:pPr>
        <w:spacing w:line="480" w:lineRule="exact"/>
        <w:ind w:firstLine="601"/>
        <w:jc w:val="center"/>
        <w:rPr>
          <w:rFonts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r>
        <w:rPr>
          <w:rFonts w:hint="eastAsia" w:ascii="仿宋" w:hAnsi="仿宋" w:eastAsia="仿宋" w:cs="仿宋_GB2312"/>
          <w:sz w:val="32"/>
          <w:szCs w:val="32"/>
          <w:u w:val="none"/>
          <w:lang w:val="en-US" w:eastAsia="zh-CN"/>
        </w:rPr>
        <w:t xml:space="preserve">      </w:t>
      </w:r>
      <w:r>
        <w:rPr>
          <w:rFonts w:hint="eastAsia" w:ascii="仿宋" w:hAnsi="仿宋" w:eastAsia="仿宋" w:cs="仿宋_GB2312"/>
          <w:sz w:val="32"/>
          <w:szCs w:val="32"/>
          <w:u w:val="none"/>
        </w:rPr>
        <w:t xml:space="preserve"> 天津市北辰区市场监督管理局</w:t>
      </w:r>
    </w:p>
    <w:p>
      <w:pPr>
        <w:spacing w:line="480" w:lineRule="exact"/>
        <w:ind w:right="640" w:firstLine="600"/>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2022</w:t>
      </w:r>
      <w:r>
        <w:rPr>
          <w:rFonts w:hint="eastAsia" w:ascii="仿宋" w:hAnsi="仿宋" w:eastAsia="仿宋" w:cs="仿宋_GB2312"/>
          <w:sz w:val="32"/>
          <w:szCs w:val="32"/>
          <w:u w:val="none"/>
        </w:rPr>
        <w:t>年</w:t>
      </w:r>
      <w:r>
        <w:rPr>
          <w:rFonts w:hint="eastAsia" w:ascii="仿宋" w:hAnsi="仿宋" w:eastAsia="仿宋" w:cs="仿宋_GB2312"/>
          <w:sz w:val="32"/>
          <w:szCs w:val="32"/>
          <w:u w:val="none"/>
          <w:lang w:val="en-US" w:eastAsia="zh-CN"/>
        </w:rPr>
        <w:t>9</w:t>
      </w:r>
      <w:r>
        <w:rPr>
          <w:rFonts w:hint="eastAsia" w:ascii="仿宋" w:hAnsi="仿宋" w:eastAsia="仿宋" w:cs="仿宋_GB2312"/>
          <w:sz w:val="32"/>
          <w:szCs w:val="32"/>
          <w:u w:val="none"/>
        </w:rPr>
        <w:t>月</w:t>
      </w:r>
      <w:r>
        <w:rPr>
          <w:rFonts w:hint="eastAsia" w:ascii="仿宋" w:hAnsi="仿宋" w:eastAsia="仿宋" w:cs="仿宋_GB2312"/>
          <w:sz w:val="32"/>
          <w:szCs w:val="32"/>
          <w:u w:val="none"/>
          <w:lang w:val="en-US" w:eastAsia="zh-CN"/>
        </w:rPr>
        <w:t>30</w:t>
      </w:r>
      <w:r>
        <w:rPr>
          <w:rFonts w:hint="eastAsia" w:ascii="仿宋" w:hAnsi="仿宋" w:eastAsia="仿宋" w:cs="仿宋_GB2312"/>
          <w:sz w:val="32"/>
          <w:szCs w:val="32"/>
          <w:u w:val="none"/>
        </w:rPr>
        <w:t>日</w:t>
      </w:r>
    </w:p>
    <w:p>
      <w:pPr>
        <w:spacing w:line="480" w:lineRule="exact"/>
        <w:ind w:firstLine="1440" w:firstLineChars="450"/>
        <w:rPr>
          <w:rFonts w:ascii="Times New Roman" w:hAnsi="Times New Roman" w:eastAsia="仿宋_GB2312" w:cs="仿宋"/>
          <w:sz w:val="32"/>
          <w:szCs w:val="32"/>
          <w:u w:val="none"/>
        </w:rPr>
      </w:pPr>
    </w:p>
    <w:sectPr>
      <w:headerReference r:id="rId3" w:type="default"/>
      <w:footerReference r:id="rId4" w:type="default"/>
      <w:pgSz w:w="11906" w:h="16838"/>
      <w:pgMar w:top="1361" w:right="1361" w:bottom="1361" w:left="1361"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altName w:val="仿宋"/>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2" w:lineRule="auto"/>
      <w:rPr>
        <w:rFonts w:ascii="Microsoft JhengHei" w:eastAsiaTheme="minor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73"/>
    <w:rsid w:val="000A0A57"/>
    <w:rsid w:val="0013772F"/>
    <w:rsid w:val="00250B46"/>
    <w:rsid w:val="002555ED"/>
    <w:rsid w:val="00290C7D"/>
    <w:rsid w:val="0031137B"/>
    <w:rsid w:val="00334E11"/>
    <w:rsid w:val="00341E6F"/>
    <w:rsid w:val="003771EC"/>
    <w:rsid w:val="00421673"/>
    <w:rsid w:val="00461005"/>
    <w:rsid w:val="004918C4"/>
    <w:rsid w:val="004C64CB"/>
    <w:rsid w:val="005138A2"/>
    <w:rsid w:val="005B07F6"/>
    <w:rsid w:val="006662F0"/>
    <w:rsid w:val="008F54EB"/>
    <w:rsid w:val="00952D45"/>
    <w:rsid w:val="009E5F8A"/>
    <w:rsid w:val="00A936B0"/>
    <w:rsid w:val="00AA6435"/>
    <w:rsid w:val="00AB0B2E"/>
    <w:rsid w:val="00AC41F5"/>
    <w:rsid w:val="00AD6FDF"/>
    <w:rsid w:val="00B3073F"/>
    <w:rsid w:val="00BA2E22"/>
    <w:rsid w:val="00C042A5"/>
    <w:rsid w:val="00CB0DFA"/>
    <w:rsid w:val="00CC2481"/>
    <w:rsid w:val="00D54A76"/>
    <w:rsid w:val="00D7527F"/>
    <w:rsid w:val="00DD244C"/>
    <w:rsid w:val="00E359F2"/>
    <w:rsid w:val="00E62186"/>
    <w:rsid w:val="00F73E1D"/>
    <w:rsid w:val="00F81E9C"/>
    <w:rsid w:val="00FC2816"/>
    <w:rsid w:val="00FD7D61"/>
    <w:rsid w:val="2DFFDDF9"/>
    <w:rsid w:val="3CD3B26F"/>
    <w:rsid w:val="6DFFBCDB"/>
    <w:rsid w:val="76A3DC22"/>
    <w:rsid w:val="77A79AB3"/>
    <w:rsid w:val="7BE7AC48"/>
    <w:rsid w:val="7C7F0DBD"/>
    <w:rsid w:val="7FBBCF0B"/>
    <w:rsid w:val="7FDF6BAE"/>
    <w:rsid w:val="7FFC0629"/>
    <w:rsid w:val="B9CF8C8E"/>
    <w:rsid w:val="BDCF70BB"/>
    <w:rsid w:val="C7FDD4B9"/>
    <w:rsid w:val="D73E6C75"/>
    <w:rsid w:val="DC6611AE"/>
    <w:rsid w:val="DF31F497"/>
    <w:rsid w:val="F58F66AE"/>
    <w:rsid w:val="F67F4A9F"/>
    <w:rsid w:val="FF77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5">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table" w:customStyle="1" w:styleId="10">
    <w:name w:val="Table Normal"/>
    <w:semiHidden/>
    <w:unhideWhenUsed/>
    <w:qFormat/>
    <w:uiPriority w:val="0"/>
    <w:rPr>
      <w:rFonts w:ascii="Arial" w:hAnsi="Arial" w:cs="Arial"/>
    </w:rPr>
    <w:tblPr>
      <w:tblCellMar>
        <w:top w:w="0" w:type="dxa"/>
        <w:left w:w="0" w:type="dxa"/>
        <w:bottom w:w="0" w:type="dxa"/>
        <w:right w:w="0" w:type="dxa"/>
      </w:tblCellMar>
    </w:tblPr>
  </w:style>
  <w:style w:type="paragraph" w:styleId="11">
    <w:name w:val="List Paragraph"/>
    <w:basedOn w:val="1"/>
    <w:qFormat/>
    <w:uiPriority w:val="34"/>
    <w:pPr>
      <w:widowControl w:val="0"/>
      <w:kinsoku/>
      <w:autoSpaceDE/>
      <w:autoSpaceDN/>
      <w:adjustRightInd/>
      <w:snapToGrid/>
      <w:ind w:firstLine="420" w:firstLineChars="200"/>
      <w:jc w:val="both"/>
      <w:textAlignment w:val="auto"/>
    </w:pPr>
    <w:rPr>
      <w:rFonts w:ascii="Calibri" w:hAnsi="Calibri" w:eastAsia="宋体" w:cs="Times New Roman"/>
      <w:snapToGrid/>
      <w:color w:val="auto"/>
      <w:kern w:val="2"/>
      <w:szCs w:val="24"/>
    </w:rPr>
  </w:style>
  <w:style w:type="character" w:customStyle="1" w:styleId="12">
    <w:name w:val="日期 字符"/>
    <w:basedOn w:val="7"/>
    <w:link w:val="2"/>
    <w:semiHidden/>
    <w:qFormat/>
    <w:uiPriority w:val="99"/>
    <w:rPr>
      <w:rFonts w:ascii="Arial" w:hAnsi="Arial" w:eastAsia="Arial" w:cs="Arial"/>
      <w:snapToGrid w:val="0"/>
      <w:color w:val="000000"/>
      <w:kern w:val="0"/>
      <w:szCs w:val="21"/>
    </w:rPr>
  </w:style>
  <w:style w:type="character" w:customStyle="1" w:styleId="13">
    <w:name w:val="批注框文本 字符"/>
    <w:basedOn w:val="7"/>
    <w:link w:val="3"/>
    <w:semiHidden/>
    <w:qFormat/>
    <w:uiPriority w:val="99"/>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427</Words>
  <Characters>2440</Characters>
  <Lines>20</Lines>
  <Paragraphs>5</Paragraphs>
  <TotalTime>15</TotalTime>
  <ScaleCrop>false</ScaleCrop>
  <LinksUpToDate>false</LinksUpToDate>
  <CharactersWithSpaces>2862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2021-09-17T09:41:00Z</dcterms:created>
  <dc:creator>何锦超</dc:creator>
  <cp:lastModifiedBy>admin</cp:lastModifiedBy>
  <cp:lastPrinted>2022-09-30T08:07:00Z</cp:lastPrinted>
  <dcterms:modified xsi:type="dcterms:W3CDTF">2023-02-07T14:30:49Z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