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津辰市监处罚〔2022〕598号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天津市北辰区王学柱便利店（王学柱）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统一社会信用代码：92120113MA0645UM90</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经营场所：天津市北辰区青光镇红光农场龙凤里小区对面</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经营者：王学柱</w:t>
      </w:r>
    </w:p>
    <w:p>
      <w:pPr>
        <w:spacing w:line="48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2022年7月28日，执法人员接到投诉，称在天津市北辰区王学柱便利店购买到过期食品，望核实处理。 2022年8月1日，执法人员根据投诉对天津市北辰区王学柱便利店进行现场检查，在其店内未发现投诉人所述过期好丽友好多鱼产品，当事人承认投诉人所述过期产品是其销售的。本案现场检查时未发现超过保质期的食品，未实施行政强制措施。本案于2022年8月1日经局领导审批予以立案调查，2022年9月10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10月10日从天津市北辰区王猛食品经营部购进好丽友好多鱼（生产日期20210805，保质期至20220504）3盒，进价3.5元/盒，2022年7月28日产品过期后仍进行了销售，因该批次产品在执法人员现场检查前已全部售出，现场检查时已无上述批次产品。上述行为满足经营超过保质期的食品行为的构成要件。涉案批次产品好丽友好多鱼1盒，售价4.5元/盒。本案货值金额4.5元，违法所得1元。</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1．当事人的营业执照、食品经营许可证复印件、经营者王学柱身份证复印件；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2．2022年8月1日现场笔录、现场照片打印件；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3．对经营者王学柱的询问笔录；</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4．当事人提交的天津市北辰区王猛食品经营部营业执照、食品经营许可证复印件、送货单复印件；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6．当事人提交的整改报告、2022年8月16日现场笔录、现场照片打印件。</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本局于2022年9月14日依法向当事人送达了《行政处罚告知书》（津辰市监罚告〔2022〕598号），当事人未提出陈述、申辩意见。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480" w:lineRule="exact"/>
        <w:ind w:firstLine="640" w:firstLineChars="200"/>
        <w:rPr>
          <w:rFonts w:hint="eastAsia" w:ascii="Times New Roman" w:eastAsia="仿宋_GB2312"/>
          <w:kern w:val="1"/>
        </w:rPr>
      </w:pPr>
      <w:r>
        <w:rPr>
          <w:rFonts w:hint="eastAsia" w:ascii="Times New Roman" w:eastAsia="仿宋_GB2312"/>
          <w:kern w:val="1"/>
        </w:rPr>
        <w:t>1．没收违法所得1元；</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2．罚款1000元。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2022年9月22日</w:t>
      </w:r>
    </w:p>
    <w:p>
      <w:pPr>
        <w:widowControl/>
        <w:snapToGrid w:val="0"/>
        <w:spacing w:line="520" w:lineRule="exact"/>
        <w:ind w:right="640"/>
        <w:jc w:val="center"/>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08B4"/>
    <w:rsid w:val="00054BB9"/>
    <w:rsid w:val="000608DF"/>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608B0"/>
    <w:rsid w:val="002832C1"/>
    <w:rsid w:val="00283759"/>
    <w:rsid w:val="00290EF7"/>
    <w:rsid w:val="002911A6"/>
    <w:rsid w:val="002D198A"/>
    <w:rsid w:val="002D29F1"/>
    <w:rsid w:val="003143CA"/>
    <w:rsid w:val="00333381"/>
    <w:rsid w:val="00392A60"/>
    <w:rsid w:val="003B472E"/>
    <w:rsid w:val="003D34E1"/>
    <w:rsid w:val="003E6ADD"/>
    <w:rsid w:val="00427B0E"/>
    <w:rsid w:val="0044442E"/>
    <w:rsid w:val="00486973"/>
    <w:rsid w:val="004B7B90"/>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67CAD"/>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A03A1"/>
    <w:rsid w:val="00AC116B"/>
    <w:rsid w:val="00AC601E"/>
    <w:rsid w:val="00B048AD"/>
    <w:rsid w:val="00B60C8E"/>
    <w:rsid w:val="00B77688"/>
    <w:rsid w:val="00B947CB"/>
    <w:rsid w:val="00C70280"/>
    <w:rsid w:val="00CA10EA"/>
    <w:rsid w:val="00CA11A7"/>
    <w:rsid w:val="00CA3857"/>
    <w:rsid w:val="00D34ADB"/>
    <w:rsid w:val="00D45EBA"/>
    <w:rsid w:val="00D626B2"/>
    <w:rsid w:val="00D77A56"/>
    <w:rsid w:val="00D90305"/>
    <w:rsid w:val="00DA7499"/>
    <w:rsid w:val="00DE569E"/>
    <w:rsid w:val="00DF41BB"/>
    <w:rsid w:val="00E044E8"/>
    <w:rsid w:val="00E319D6"/>
    <w:rsid w:val="00E40FD2"/>
    <w:rsid w:val="00E4441A"/>
    <w:rsid w:val="00E877C9"/>
    <w:rsid w:val="00EB7C2E"/>
    <w:rsid w:val="00EC4DFC"/>
    <w:rsid w:val="00EC77E0"/>
    <w:rsid w:val="00F01391"/>
    <w:rsid w:val="00F344BA"/>
    <w:rsid w:val="00F502AB"/>
    <w:rsid w:val="00F95B1D"/>
    <w:rsid w:val="00FB1DB9"/>
    <w:rsid w:val="00FD7FB1"/>
    <w:rsid w:val="3FEF0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Words>
  <Characters>1608</Characters>
  <Lines>13</Lines>
  <Paragraphs>3</Paragraphs>
  <TotalTime>242</TotalTime>
  <ScaleCrop>false</ScaleCrop>
  <LinksUpToDate>false</LinksUpToDate>
  <CharactersWithSpaces>1887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2022-09-22T14:22:00Z</cp:lastPrinted>
  <dcterms:modified xsi:type="dcterms:W3CDTF">2022-09-22T17:09:07Z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