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610</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天津市北辰区有鱼有肉家常菜馆（邢朝猛）</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92120113MA07AWCYX9</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天津市北辰区小淀镇小淀村大街南二条2号</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邢朝猛</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default"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hint="default" w:ascii="仿宋_GB2312" w:eastAsia="仿宋_GB2312" w:cs="仿宋_GB2312"/>
          <w:kern w:val="1"/>
          <w:sz w:val="32"/>
          <w:szCs w:val="32"/>
          <w:u w:val="none"/>
          <w:lang w:val="en-US"/>
        </w:rPr>
      </w:pPr>
      <w:r>
        <w:rPr>
          <w:rFonts w:hint="eastAsia" w:ascii="仿宋_GB2312" w:eastAsia="仿宋_GB2312" w:cs="仿宋_GB2312"/>
          <w:kern w:val="1"/>
          <w:sz w:val="32"/>
          <w:szCs w:val="32"/>
          <w:u w:val="none"/>
          <w:lang w:val="en-US" w:eastAsia="zh-CN"/>
        </w:rPr>
        <w:t>2022年8月10日，执法人员现场检查发现当事人未按规定实施生产经营过程控制要求，拒不改正。当日，经分管局长批准，予以立案调查。执法人员采取现场检查、收集相关书证等方式进行了调查。</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2021年6月9日，当事人经许可经营餐饮服务。2022年8月1日，当事人因未按规定实施生产经营过程控制要求（未落实疫情防控测温、验码、戴口罩等要求）被我局责令立即改正。2022年8月10日，我局执法人员进行回查时，当事人仍未改正，不符合国家关于新型冠状病毒肺炎防控方案、防护指南等相关要求及《餐饮服务食品安全操作规范》。当事人的上述行为，满足未按规定实施生产经营过程控制要求，拒不改正行为构成要件。</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的营业执照、食品经营许可证、经营者身份证复印件，证明当事人的主体资格。2、2022年8月1日《责令改正通知书》（文号）及《送达回证》，证明当事人因未按规定实施生产经营过程控制要求（未落实疫情防控测温、验码、戴口罩等要求），被我局责令立即改正。3、2022年8月10日现场笔录及现场执法录像，证明当事人未按规定实施生产经营过程控制要求（未落实疫情防控测温、验码、戴口罩等要求），拒不改正。4、对于邢朝猛的询问笔录，证明当事人未落实疫情防控测温、验码、戴口罩等要求的事实情节。</w:t>
      </w:r>
      <w:r>
        <w:rPr>
          <w:rFonts w:hint="eastAsia" w:ascii="仿宋_GB2312" w:eastAsia="仿宋_GB2312" w:cs="仿宋_GB2312"/>
          <w:kern w:val="1"/>
          <w:sz w:val="32"/>
          <w:szCs w:val="32"/>
          <w:u w:val="none"/>
          <w:lang w:val="en-US" w:eastAsia="zh-CN"/>
        </w:rPr>
        <w:t>5、</w:t>
      </w:r>
      <w:r>
        <w:rPr>
          <w:rFonts w:hint="eastAsia" w:ascii="仿宋_GB2312" w:eastAsia="仿宋_GB2312" w:cs="仿宋_GB2312"/>
          <w:kern w:val="1"/>
          <w:sz w:val="32"/>
          <w:szCs w:val="32"/>
          <w:u w:val="none"/>
        </w:rPr>
        <w:t xml:space="preserve">2022年8月13日现场检查笔录，证明当事人最终改正违法行为。    </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2022年</w:t>
      </w:r>
      <w:r>
        <w:rPr>
          <w:rFonts w:hint="eastAsia" w:ascii="仿宋_GB2312" w:eastAsia="仿宋_GB2312" w:cs="仿宋_GB2312"/>
          <w:kern w:val="1"/>
          <w:sz w:val="32"/>
          <w:szCs w:val="32"/>
          <w:u w:val="none"/>
          <w:lang w:val="en-US" w:eastAsia="zh-CN"/>
        </w:rPr>
        <w:t>10</w:t>
      </w:r>
      <w:r>
        <w:rPr>
          <w:rFonts w:hint="eastAsia" w:ascii="仿宋_GB2312" w:eastAsia="仿宋_GB2312" w:cs="仿宋_GB2312"/>
          <w:kern w:val="1"/>
          <w:sz w:val="32"/>
          <w:szCs w:val="32"/>
          <w:u w:val="none"/>
          <w:lang w:eastAsia="zh-CN"/>
        </w:rPr>
        <w:t>月</w:t>
      </w:r>
      <w:r>
        <w:rPr>
          <w:rFonts w:hint="eastAsia" w:ascii="仿宋_GB2312" w:eastAsia="仿宋_GB2312" w:cs="仿宋_GB2312"/>
          <w:kern w:val="1"/>
          <w:sz w:val="32"/>
          <w:szCs w:val="32"/>
          <w:u w:val="none"/>
          <w:lang w:val="en-US" w:eastAsia="zh-CN"/>
        </w:rPr>
        <w:t>10</w:t>
      </w:r>
      <w:r>
        <w:rPr>
          <w:rFonts w:hint="eastAsia" w:ascii="仿宋_GB2312" w:eastAsia="仿宋_GB2312" w:cs="仿宋_GB2312"/>
          <w:kern w:val="1"/>
          <w:sz w:val="32"/>
          <w:szCs w:val="32"/>
          <w:u w:val="none"/>
          <w:lang w:eastAsia="zh-CN"/>
        </w:rPr>
        <w:t>日</w:t>
      </w:r>
      <w:r>
        <w:rPr>
          <w:rFonts w:hint="eastAsia" w:ascii="仿宋_GB2312" w:eastAsia="仿宋_GB2312" w:cs="仿宋_GB2312"/>
          <w:kern w:val="1"/>
          <w:sz w:val="32"/>
          <w:szCs w:val="32"/>
          <w:u w:val="none"/>
        </w:rPr>
        <w:t>依法向当事人送达了《行政处罚告知书》（津辰市监罚告〔</w:t>
      </w:r>
      <w:r>
        <w:rPr>
          <w:rFonts w:hint="eastAsia" w:ascii="仿宋_GB2312" w:eastAsia="仿宋_GB2312" w:cs="仿宋_GB2312"/>
          <w:kern w:val="1"/>
          <w:sz w:val="32"/>
          <w:szCs w:val="32"/>
          <w:u w:val="none"/>
          <w:lang w:eastAsia="zh-CN"/>
        </w:rPr>
        <w:t>2022</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610</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本局认为，当事人上述行为违反了《中华人民共和国食品安全法》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的规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鉴于当事人在案发后积极配合行政机关检查，如实提供有关单据、文件、记录和其他资料，并积极改正违法行为，符合《天津市市场和质量监督管理委员会行政处罚裁量适用规则》第十三条第五项的规定，对当事人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综上，当事人上述行为违反了《中华人民共和国食品安全法》第一百二十六条第一款第十三项的规定，依据该规定，现责令当事人立即改正上述违法行为，并决定作出行政处罚如下：</w:t>
      </w:r>
    </w:p>
    <w:p>
      <w:pPr>
        <w:spacing w:line="560" w:lineRule="exact"/>
        <w:ind w:firstLine="640" w:firstLineChars="200"/>
        <w:rPr>
          <w:rFonts w:hint="default"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eastAsia="zh-CN"/>
        </w:rPr>
        <w:t xml:space="preserve"> 罚款</w:t>
      </w:r>
      <w:r>
        <w:rPr>
          <w:rFonts w:hint="eastAsia" w:ascii="仿宋_GB2312" w:eastAsia="仿宋_GB2312" w:cs="仿宋_GB2312"/>
          <w:kern w:val="1"/>
          <w:sz w:val="32"/>
          <w:szCs w:val="32"/>
          <w:u w:val="none"/>
          <w:lang w:val="en-US" w:eastAsia="zh-CN"/>
        </w:rPr>
        <w:t>1000元</w:t>
      </w:r>
      <w:r>
        <w:rPr>
          <w:rFonts w:hint="eastAsia" w:ascii="仿宋_GB2312" w:eastAsia="仿宋_GB2312" w:cs="仿宋_GB2312"/>
          <w:kern w:val="1"/>
          <w:sz w:val="32"/>
          <w:szCs w:val="32"/>
          <w:u w:val="none"/>
          <w:lang w:eastAsia="zh-CN"/>
        </w:rPr>
        <w:t>。</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u w:val="none"/>
          <w:lang w:val="en-US" w:eastAsia="zh-CN"/>
        </w:rPr>
      </w:pPr>
    </w:p>
    <w:p>
      <w:pPr>
        <w:spacing w:line="500" w:lineRule="exact"/>
        <w:ind w:firstLine="601"/>
        <w:jc w:val="center"/>
        <w:rPr>
          <w:rFonts w:hint="eastAsia" w:ascii="Times New Roman" w:hAnsi="Times New Roman" w:eastAsia="仿宋_GB2312" w:cs="仿宋"/>
          <w:color w:val="000000"/>
          <w:sz w:val="32"/>
          <w:szCs w:val="32"/>
          <w:u w:val="none"/>
          <w:lang w:val="en-US" w:eastAsia="zh-CN"/>
        </w:rPr>
      </w:pPr>
    </w:p>
    <w:p>
      <w:pPr>
        <w:spacing w:line="500" w:lineRule="exact"/>
        <w:ind w:firstLine="601"/>
        <w:jc w:val="center"/>
        <w:rPr>
          <w:rFonts w:hint="eastAsia" w:ascii="Times New Roman" w:hAnsi="Times New Roman" w:eastAsia="仿宋_GB2312" w:cs="仿宋"/>
          <w:color w:val="000000"/>
          <w:sz w:val="32"/>
          <w:szCs w:val="32"/>
          <w:u w:val="none"/>
          <w:lang w:val="en-US" w:eastAsia="zh-CN"/>
        </w:rPr>
      </w:pPr>
    </w:p>
    <w:p>
      <w:pPr>
        <w:spacing w:line="500" w:lineRule="exact"/>
        <w:ind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1"/>
        <w:jc w:val="center"/>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lang w:eastAsia="zh-CN"/>
        </w:rPr>
        <w:t>2022年10月18日</w:t>
      </w: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20" w:lineRule="exact"/>
        <w:jc w:val="center"/>
        <w:rPr>
          <w:rFonts w:hint="eastAsia" w:ascii="Times New Roman" w:hAnsi="Times New Roman" w:eastAsia="仿宋_GB2312" w:cs="仿宋"/>
          <w:color w:val="000000"/>
          <w:sz w:val="32"/>
          <w:szCs w:val="32"/>
          <w:u w:val="none"/>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211C7E"/>
    <w:rsid w:val="04D60C9E"/>
    <w:rsid w:val="07EC1BE7"/>
    <w:rsid w:val="1FCF6A7D"/>
    <w:rsid w:val="1FF9E709"/>
    <w:rsid w:val="29F01EC0"/>
    <w:rsid w:val="2F1FCC8E"/>
    <w:rsid w:val="31EB503B"/>
    <w:rsid w:val="37C360C1"/>
    <w:rsid w:val="3B2B708C"/>
    <w:rsid w:val="3C583FED"/>
    <w:rsid w:val="3D126C4B"/>
    <w:rsid w:val="46083B1E"/>
    <w:rsid w:val="47151B2E"/>
    <w:rsid w:val="4FCF1ABA"/>
    <w:rsid w:val="51F52D66"/>
    <w:rsid w:val="56EFEEC7"/>
    <w:rsid w:val="5F4616E7"/>
    <w:rsid w:val="61FDDE48"/>
    <w:rsid w:val="6BFB9147"/>
    <w:rsid w:val="6FBE978F"/>
    <w:rsid w:val="75AF62C2"/>
    <w:rsid w:val="75FEED9B"/>
    <w:rsid w:val="775EAE51"/>
    <w:rsid w:val="7977AFF1"/>
    <w:rsid w:val="79AB19A5"/>
    <w:rsid w:val="7AF7F177"/>
    <w:rsid w:val="7BF55AAB"/>
    <w:rsid w:val="7D9F9E72"/>
    <w:rsid w:val="8CDFEFCB"/>
    <w:rsid w:val="A4FFED5E"/>
    <w:rsid w:val="AF7FC530"/>
    <w:rsid w:val="AFFFE157"/>
    <w:rsid w:val="BA83AAFE"/>
    <w:rsid w:val="C6ED1F6C"/>
    <w:rsid w:val="DA2F2EC5"/>
    <w:rsid w:val="DDFF16CD"/>
    <w:rsid w:val="DFCB7546"/>
    <w:rsid w:val="EAD33F01"/>
    <w:rsid w:val="F378BD2F"/>
    <w:rsid w:val="F5BF7F76"/>
    <w:rsid w:val="F67A45D9"/>
    <w:rsid w:val="F76E5F04"/>
    <w:rsid w:val="F7FF3F3A"/>
    <w:rsid w:val="F8F68D8D"/>
    <w:rsid w:val="FD773BCE"/>
    <w:rsid w:val="FF4782E3"/>
    <w:rsid w:val="FF6F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108</TotalTime>
  <ScaleCrop>false</ScaleCrop>
  <LinksUpToDate>false</LinksUpToDate>
  <CharactersWithSpaces>2473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2019-08-31T00:43:00Z</dcterms:created>
  <dc:creator>邢鹏飞</dc:creator>
  <cp:lastModifiedBy>admin</cp:lastModifiedBy>
  <cp:lastPrinted>2022-02-17T03:06:00Z</cp:lastPrinted>
  <dcterms:modified xsi:type="dcterms:W3CDTF">2022-10-21T17:10:24Z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7B4C8F5C30774C87B9A3F20564DB9FA0</vt:lpwstr>
  </property>
</Properties>
</file>