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u w:val="none"/>
        </w:rPr>
      </w:pPr>
      <w:r>
        <w:rPr>
          <w:rFonts w:hint="eastAsia" w:ascii="Times New Roman" w:hAnsi="Times New Roman" w:eastAsia="方正小标宋简体" w:cs="方正小标宋简体"/>
          <w:bCs/>
          <w:sz w:val="44"/>
          <w:szCs w:val="44"/>
          <w:u w:val="none"/>
        </w:rPr>
        <w:t>天津市</w:t>
      </w:r>
      <w:r>
        <w:rPr>
          <w:rFonts w:ascii="Times New Roman" w:hAnsi="Times New Roman" w:eastAsia="方正小标宋简体" w:cs="方正小标宋简体"/>
          <w:bCs/>
          <w:sz w:val="44"/>
          <w:szCs w:val="44"/>
          <w:u w:val="none"/>
        </w:rPr>
        <w:t>北辰区</w:t>
      </w:r>
      <w:r>
        <w:rPr>
          <w:rFonts w:hint="eastAsia" w:ascii="Times New Roman" w:hAnsi="Times New Roman" w:eastAsia="方正小标宋简体" w:cs="方正小标宋简体"/>
          <w:bCs/>
          <w:color w:val="000000"/>
          <w:sz w:val="44"/>
          <w:szCs w:val="44"/>
          <w:u w:val="none"/>
        </w:rPr>
        <w:t>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spacing w:before="312" w:beforeLines="100" w:after="312" w:afterLines="100" w:line="420" w:lineRule="exact"/>
        <w:jc w:val="center"/>
        <w:rPr>
          <w:rFonts w:ascii="Times New Roman" w:hAnsi="Times New Roman" w:eastAsia="仿宋_GB2312" w:cs="仿宋"/>
          <w:sz w:val="32"/>
          <w:szCs w:val="32"/>
          <w:u w:val="none"/>
        </w:rPr>
      </w:pPr>
      <w:r>
        <w:rPr>
          <w:rFonts w:hint="eastAsia" w:ascii="Times New Roman" w:hAnsi="Times New Roman" w:eastAsia="仿宋_GB2312" w:cs="仿宋"/>
          <w:sz w:val="32"/>
          <w:szCs w:val="32"/>
          <w:u w:val="none"/>
        </w:rPr>
        <w:t>津辰市监处罚〔</w:t>
      </w:r>
      <w:r>
        <w:rPr>
          <w:rFonts w:ascii="Times New Roman" w:hAnsi="Times New Roman" w:eastAsia="仿宋_GB2312" w:cs="仿宋"/>
          <w:sz w:val="32"/>
          <w:szCs w:val="32"/>
          <w:u w:val="none"/>
        </w:rPr>
        <w:t>202</w:t>
      </w:r>
      <w:r>
        <w:rPr>
          <w:rFonts w:hint="eastAsia" w:ascii="Times New Roman" w:hAnsi="Times New Roman" w:eastAsia="仿宋_GB2312" w:cs="仿宋"/>
          <w:sz w:val="32"/>
          <w:szCs w:val="32"/>
          <w:u w:val="none"/>
        </w:rPr>
        <w:t>2〕619号</w:t>
      </w:r>
    </w:p>
    <w:p>
      <w:pPr>
        <w:snapToGrid w:val="0"/>
        <w:spacing w:line="560" w:lineRule="exact"/>
        <w:jc w:val="left"/>
        <w:rPr>
          <w:rFonts w:ascii="Times New Roman" w:hAnsi="Times New Roman" w:eastAsia="仿宋_GB2312" w:cs="Mongolian Baiti"/>
          <w:sz w:val="32"/>
          <w:szCs w:val="32"/>
          <w:u w:val="none"/>
        </w:rPr>
      </w:pPr>
      <w:r>
        <w:rPr>
          <w:rFonts w:hint="eastAsia" w:ascii="Times New Roman" w:hAnsi="Times New Roman" w:eastAsia="仿宋_GB2312" w:cs="微软雅黑"/>
          <w:kern w:val="1"/>
          <w:sz w:val="32"/>
          <w:szCs w:val="32"/>
          <w:u w:val="none"/>
        </w:rPr>
        <w:t>当事人</w:t>
      </w:r>
      <w:r>
        <w:rPr>
          <w:rFonts w:hint="eastAsia" w:ascii="Times New Roman" w:hAnsi="Times New Roman" w:eastAsia="仿宋_GB2312" w:cs="Mongolian Baiti"/>
          <w:kern w:val="1"/>
          <w:sz w:val="32"/>
          <w:szCs w:val="32"/>
          <w:u w:val="none"/>
        </w:rPr>
        <w:t>：</w:t>
      </w:r>
      <w:r>
        <w:rPr>
          <w:rFonts w:hint="eastAsia" w:ascii="仿宋_GB2312" w:eastAsia="仿宋_GB2312" w:cs="仿宋_GB2312"/>
          <w:bCs/>
          <w:sz w:val="32"/>
          <w:szCs w:val="32"/>
          <w:u w:val="none"/>
        </w:rPr>
        <w:t>天津市北辰区万人乐烟酒便利店（李金勇）</w:t>
      </w:r>
    </w:p>
    <w:p>
      <w:pPr>
        <w:snapToGrid w:val="0"/>
        <w:spacing w:line="560" w:lineRule="exact"/>
        <w:jc w:val="left"/>
        <w:rPr>
          <w:rFonts w:ascii="Times New Roman" w:hAnsi="Times New Roman" w:eastAsia="仿宋_GB2312" w:cs="Mongolian Baiti"/>
          <w:sz w:val="32"/>
          <w:szCs w:val="32"/>
          <w:u w:val="none"/>
        </w:rPr>
      </w:pPr>
      <w:r>
        <w:rPr>
          <w:rFonts w:hint="eastAsia" w:ascii="Times New Roman" w:hAnsi="Times New Roman" w:eastAsia="仿宋_GB2312" w:cs="Mongolian Baiti"/>
          <w:kern w:val="1"/>
          <w:sz w:val="32"/>
          <w:szCs w:val="32"/>
          <w:u w:val="none"/>
        </w:rPr>
        <w:t>主体资格证照名称：营业执照</w:t>
      </w:r>
    </w:p>
    <w:p>
      <w:pPr>
        <w:snapToGrid w:val="0"/>
        <w:spacing w:line="560" w:lineRule="exact"/>
        <w:ind w:hanging="140"/>
        <w:jc w:val="left"/>
        <w:rPr>
          <w:rFonts w:ascii="仿宋_GB2312" w:eastAsia="仿宋_GB2312"/>
          <w:sz w:val="32"/>
          <w:szCs w:val="32"/>
          <w:u w:val="none"/>
        </w:rPr>
      </w:pPr>
      <w:r>
        <w:rPr>
          <w:rFonts w:hint="eastAsia" w:ascii="Times New Roman" w:hAnsi="Times New Roman" w:eastAsia="仿宋_GB2312" w:cs="Mongolian Baiti"/>
          <w:kern w:val="1"/>
          <w:sz w:val="32"/>
          <w:szCs w:val="32"/>
          <w:u w:val="none"/>
        </w:rPr>
        <w:t xml:space="preserve"> 统一社会信用代码：</w:t>
      </w:r>
      <w:r>
        <w:rPr>
          <w:rFonts w:ascii="仿宋_GB2312" w:eastAsia="仿宋_GB2312" w:cs="仿宋_GB2312"/>
          <w:bCs/>
          <w:sz w:val="32"/>
          <w:szCs w:val="32"/>
          <w:u w:val="none"/>
        </w:rPr>
        <w:t>92120113MA06TTR95X</w:t>
      </w:r>
    </w:p>
    <w:p>
      <w:pPr>
        <w:snapToGrid w:val="0"/>
        <w:spacing w:line="560" w:lineRule="exact"/>
        <w:jc w:val="left"/>
        <w:rPr>
          <w:rFonts w:ascii="仿宋_GB2312" w:eastAsia="仿宋_GB2312" w:cs="仿宋_GB2312"/>
          <w:spacing w:val="-20"/>
          <w:sz w:val="32"/>
          <w:szCs w:val="32"/>
          <w:u w:val="none"/>
        </w:rPr>
      </w:pPr>
      <w:r>
        <w:rPr>
          <w:rFonts w:hint="eastAsia" w:ascii="Times New Roman" w:hAnsi="Times New Roman" w:eastAsia="仿宋_GB2312" w:cs="Mongolian Baiti"/>
          <w:kern w:val="1"/>
          <w:sz w:val="32"/>
          <w:szCs w:val="32"/>
          <w:u w:val="none"/>
        </w:rPr>
        <w:t>住所（住址）：</w:t>
      </w:r>
      <w:r>
        <w:rPr>
          <w:rFonts w:hint="eastAsia" w:ascii="仿宋_GB2312" w:eastAsia="仿宋_GB2312" w:cs="仿宋_GB2312"/>
          <w:bCs/>
          <w:spacing w:val="-20"/>
          <w:sz w:val="32"/>
          <w:szCs w:val="32"/>
          <w:u w:val="none"/>
        </w:rPr>
        <w:t>天津市北辰区佳荣里街佳宁道北侧佳宁道菜市场</w:t>
      </w:r>
    </w:p>
    <w:p>
      <w:pPr>
        <w:snapToGrid w:val="0"/>
        <w:spacing w:line="560" w:lineRule="exact"/>
        <w:jc w:val="lef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法定代表人（负责人、经营者）：</w:t>
      </w:r>
      <w:r>
        <w:rPr>
          <w:rFonts w:hint="eastAsia" w:ascii="仿宋_GB2312" w:eastAsia="仿宋_GB2312" w:cs="仿宋_GB2312"/>
          <w:bCs/>
          <w:sz w:val="32"/>
          <w:szCs w:val="32"/>
          <w:u w:val="none"/>
        </w:rPr>
        <w:t>李金勇</w:t>
      </w:r>
    </w:p>
    <w:p>
      <w:pPr>
        <w:snapToGrid w:val="0"/>
        <w:spacing w:line="560" w:lineRule="exact"/>
        <w:jc w:val="left"/>
        <w:rPr>
          <w:rFonts w:hint="eastAsia" w:ascii="Times New Roman" w:hAnsi="Times New Roman" w:eastAsia="仿宋_GB2312" w:cs="Mongolian Baiti"/>
          <w:kern w:val="1"/>
          <w:sz w:val="32"/>
          <w:szCs w:val="32"/>
          <w:u w:val="none"/>
          <w:lang w:eastAsia="zh-CN"/>
        </w:rPr>
      </w:pPr>
      <w:r>
        <w:rPr>
          <w:rFonts w:hint="eastAsia" w:ascii="Times New Roman" w:hAnsi="Times New Roman" w:eastAsia="仿宋_GB2312" w:cs="Mongolian Baiti"/>
          <w:kern w:val="1"/>
          <w:sz w:val="32"/>
          <w:szCs w:val="32"/>
          <w:u w:val="none"/>
        </w:rPr>
        <w:t>身份证件号码：</w:t>
      </w:r>
      <w:r>
        <w:rPr>
          <w:rFonts w:hint="eastAsia" w:ascii="仿宋_GB2312" w:eastAsia="仿宋_GB2312" w:cs="仿宋_GB2312"/>
          <w:bCs/>
          <w:sz w:val="32"/>
          <w:szCs w:val="32"/>
          <w:u w:val="none"/>
          <w:lang w:val="en-US" w:eastAsia="zh-CN"/>
        </w:rPr>
        <w:t>/</w:t>
      </w:r>
    </w:p>
    <w:p>
      <w:pPr>
        <w:wordWrap w:val="0"/>
        <w:spacing w:line="560" w:lineRule="exact"/>
        <w:ind w:firstLine="640" w:firstLineChars="200"/>
        <w:jc w:val="left"/>
        <w:rPr>
          <w:rFonts w:ascii="仿宋_GB2312" w:hAnsi="仿宋" w:eastAsia="仿宋_GB2312"/>
          <w:sz w:val="32"/>
          <w:szCs w:val="32"/>
          <w:u w:val="none"/>
        </w:rPr>
      </w:pPr>
      <w:r>
        <w:rPr>
          <w:rFonts w:hint="eastAsia" w:ascii="仿宋_GB2312" w:eastAsia="仿宋_GB2312" w:cs="仿宋_GB2312"/>
          <w:bCs/>
          <w:sz w:val="32"/>
          <w:szCs w:val="32"/>
          <w:u w:val="none"/>
        </w:rPr>
        <w:t>2022年8月17日，我局接到消费者投诉，天津市北辰区万人乐烟酒便利店售卖过期食品。2022年8月18日，根据投诉，我局执法人员在对位于天津市北辰区佳荣里街佳宁道北侧佳宁道菜市场的李金勇经营的天津市北辰区万人乐烟酒便利店进行检查时发现，其货架上摆放有待售的2袋汤达人酸酸辣辣豚骨面（袋装，净含量130克，标注生产日期20211222，保质期六个月，标价5元/袋）已经超过保质期。当事人涉嫌经营超过保质期的食品,经局领导审批，执法人员依法对涉案的超过保质期的食品进行了扣押，现场送达了《实施行政强制措施决定书》（津辰市监佳强制〔2022〕4号），并告知采取行政强制措施的理由、依据及当事人依法享有的权利、救济途径。当事人放弃陈述、申辩。同日，执法人员报经局领导批准，予以立案调查。</w:t>
      </w:r>
      <w:r>
        <w:rPr>
          <w:rFonts w:hint="eastAsia" w:ascii="仿宋_GB2312" w:hAnsi="仿宋" w:eastAsia="仿宋_GB2312"/>
          <w:sz w:val="32"/>
          <w:szCs w:val="32"/>
          <w:u w:val="none"/>
        </w:rPr>
        <w:t>2022年9月16日，因案情复杂，经局领导审批，决定将行政强制措施的期限延长45日，执法人员现场送达《延长行政强制措施期限决定书》（津辰市监佳延强〔2022〕4号），并告知延长行政强制措施期限的理由、依据及当事人依法享有的权利、救济途径。当事人放弃陈述、申辩。</w:t>
      </w:r>
      <w:r>
        <w:rPr>
          <w:rFonts w:hint="eastAsia" w:ascii="仿宋_GB2312" w:eastAsia="仿宋_GB2312" w:cs="仿宋_GB2312"/>
          <w:bCs/>
          <w:sz w:val="32"/>
          <w:szCs w:val="32"/>
          <w:u w:val="none"/>
        </w:rPr>
        <w:t>执法人员采取现场检查、询问相关人员等方式进行了调查</w:t>
      </w:r>
      <w:r>
        <w:rPr>
          <w:rFonts w:hint="eastAsia" w:ascii="仿宋_GB2312" w:eastAsia="仿宋_GB2312" w:cs="仿宋_GB2312"/>
          <w:sz w:val="32"/>
          <w:szCs w:val="32"/>
          <w:u w:val="none"/>
        </w:rPr>
        <w:t>。</w:t>
      </w:r>
    </w:p>
    <w:p>
      <w:pPr>
        <w:wordWrap w:val="0"/>
        <w:spacing w:line="560" w:lineRule="exact"/>
        <w:ind w:firstLine="640" w:firstLineChars="200"/>
        <w:jc w:val="left"/>
        <w:rPr>
          <w:rFonts w:ascii="仿宋_GB2312" w:eastAsia="仿宋_GB2312" w:cs="仿宋_GB2312"/>
          <w:bCs/>
          <w:sz w:val="32"/>
          <w:szCs w:val="32"/>
          <w:u w:val="none"/>
        </w:rPr>
      </w:pPr>
      <w:r>
        <w:rPr>
          <w:rFonts w:hint="eastAsia" w:ascii="仿宋_GB2312" w:hAnsi="Times New Roman" w:eastAsia="仿宋_GB2312" w:cs="仿宋_GB2312"/>
          <w:sz w:val="32"/>
          <w:szCs w:val="32"/>
          <w:u w:val="none"/>
        </w:rPr>
        <w:t>经查，</w:t>
      </w:r>
      <w:r>
        <w:rPr>
          <w:rFonts w:hint="eastAsia" w:ascii="仿宋_GB2312" w:eastAsia="仿宋_GB2312" w:cs="仿宋_GB2312"/>
          <w:bCs/>
          <w:sz w:val="32"/>
          <w:szCs w:val="32"/>
          <w:u w:val="none"/>
        </w:rPr>
        <w:t>当事人于2019年10月9日取得营业执照，2019年10月11日取得食品经营许可从事食品销售。2022年1月14日，当事人从鑫悦顺（天津）商贸有限公司购进24袋汤达人酸酸辣辣豚骨面（袋装，净含量130克，标注生产日期20211222，保质期六个月）置于店内销售。2022年8月16日，当事人向投诉人售出上述批次汤达人酸酸辣辣豚骨面1袋，售出时已超过保质期。2022年8月18日，我局执法人员现场检查时发现，当事人店内货架上仍摆放有待售的上述批次汤达人酸酸辣辣豚骨面2袋，已经超过保质期。上述行为满足经营超过保质期的食品的构成要件。因当事人未建立相关账目，除销售给投诉人的上述超过保质期的汤达人酸酸辣辣豚骨面以外，其余上述批次汤达人酸酸辣辣豚骨面在超过保质期后是否售出无法查实，超过保质期食品货值金额为15元，查实违法所得0.5元。</w:t>
      </w:r>
    </w:p>
    <w:p>
      <w:pPr>
        <w:wordWrap w:val="0"/>
        <w:spacing w:line="560" w:lineRule="exact"/>
        <w:ind w:firstLine="640" w:firstLineChars="200"/>
        <w:jc w:val="left"/>
        <w:rPr>
          <w:rFonts w:ascii="仿宋_GB2312" w:eastAsia="仿宋_GB2312"/>
          <w:sz w:val="32"/>
          <w:szCs w:val="32"/>
          <w:u w:val="none"/>
        </w:rPr>
      </w:pPr>
      <w:r>
        <w:rPr>
          <w:rFonts w:hint="eastAsia" w:ascii="仿宋_GB2312" w:hAnsi="Times New Roman" w:eastAsia="仿宋_GB2312" w:cs="仿宋"/>
          <w:color w:val="000000"/>
          <w:sz w:val="32"/>
          <w:szCs w:val="32"/>
          <w:u w:val="none"/>
        </w:rPr>
        <w:t>上述事实，主要有以下证据证明：</w:t>
      </w:r>
      <w:r>
        <w:rPr>
          <w:rFonts w:hint="eastAsia" w:ascii="仿宋_GB2312" w:eastAsia="仿宋_GB2312"/>
          <w:sz w:val="32"/>
          <w:szCs w:val="32"/>
          <w:u w:val="none"/>
        </w:rPr>
        <w:t>1.当事人的营业执照复印件、食品经营许可证复印件、经营者李金勇的身份证复印件；2.现场笔录、现场照片；3.投诉人提供的材料、对李金勇的询问笔录；4.违法所得和货值金额计算表；5.对当事人进行复查的现场笔录、当事人提交的整改报告、张贴召回公告的照片。</w:t>
      </w:r>
    </w:p>
    <w:p>
      <w:pPr>
        <w:wordWrap w:val="0"/>
        <w:spacing w:line="560" w:lineRule="exact"/>
        <w:ind w:firstLine="640" w:firstLineChars="200"/>
        <w:jc w:val="left"/>
        <w:rPr>
          <w:rFonts w:ascii="仿宋_GB2312" w:hAnsi="Times New Roman" w:eastAsia="仿宋_GB2312" w:cs="仿宋"/>
          <w:bCs/>
          <w:color w:val="000000"/>
          <w:sz w:val="32"/>
          <w:szCs w:val="32"/>
          <w:u w:val="none"/>
        </w:rPr>
      </w:pPr>
      <w:r>
        <w:rPr>
          <w:rFonts w:hint="eastAsia" w:ascii="仿宋_GB2312" w:hAnsi="Times New Roman" w:eastAsia="仿宋_GB2312" w:cs="仿宋"/>
          <w:color w:val="000000"/>
          <w:sz w:val="32"/>
          <w:szCs w:val="32"/>
          <w:u w:val="none"/>
        </w:rPr>
        <w:t>本局于20</w:t>
      </w:r>
      <w:r>
        <w:rPr>
          <w:rFonts w:ascii="仿宋_GB2312" w:hAnsi="Times New Roman" w:eastAsia="仿宋_GB2312" w:cs="仿宋"/>
          <w:color w:val="000000"/>
          <w:sz w:val="32"/>
          <w:szCs w:val="32"/>
          <w:u w:val="none"/>
        </w:rPr>
        <w:t>2</w:t>
      </w:r>
      <w:r>
        <w:rPr>
          <w:rFonts w:hint="eastAsia" w:ascii="仿宋_GB2312" w:hAnsi="Times New Roman" w:eastAsia="仿宋_GB2312" w:cs="仿宋"/>
          <w:color w:val="000000"/>
          <w:sz w:val="32"/>
          <w:szCs w:val="32"/>
          <w:u w:val="none"/>
        </w:rPr>
        <w:t>2年10月20日依法向当事人送达了《行政处罚告知书》（津辰市监罚告〔20</w:t>
      </w:r>
      <w:r>
        <w:rPr>
          <w:rFonts w:ascii="仿宋_GB2312" w:hAnsi="Times New Roman" w:eastAsia="仿宋_GB2312" w:cs="仿宋"/>
          <w:color w:val="000000"/>
          <w:sz w:val="32"/>
          <w:szCs w:val="32"/>
          <w:u w:val="none"/>
        </w:rPr>
        <w:t>2</w:t>
      </w:r>
      <w:r>
        <w:rPr>
          <w:rFonts w:hint="eastAsia" w:ascii="仿宋_GB2312" w:hAnsi="Times New Roman" w:eastAsia="仿宋_GB2312" w:cs="仿宋"/>
          <w:color w:val="000000"/>
          <w:sz w:val="32"/>
          <w:szCs w:val="32"/>
          <w:u w:val="none"/>
        </w:rPr>
        <w:t>2〕619号），当事人未提出陈述申辩意见。</w:t>
      </w:r>
    </w:p>
    <w:p>
      <w:pPr>
        <w:snapToGrid w:val="0"/>
        <w:spacing w:line="560" w:lineRule="exact"/>
        <w:ind w:firstLine="640" w:firstLineChars="200"/>
        <w:rPr>
          <w:rFonts w:ascii="仿宋_GB2312" w:hAnsi="仿宋" w:eastAsia="仿宋_GB2312"/>
          <w:sz w:val="32"/>
          <w:szCs w:val="32"/>
          <w:u w:val="none"/>
        </w:rPr>
      </w:pPr>
      <w:r>
        <w:rPr>
          <w:rFonts w:hint="eastAsia" w:ascii="仿宋_GB2312" w:hAnsi="Times New Roman" w:eastAsia="仿宋_GB2312" w:cs="仿宋"/>
          <w:bCs/>
          <w:color w:val="000000"/>
          <w:sz w:val="32"/>
          <w:szCs w:val="32"/>
          <w:u w:val="none"/>
        </w:rPr>
        <w:t>本局认为，</w:t>
      </w:r>
      <w:r>
        <w:rPr>
          <w:rFonts w:hint="eastAsia" w:ascii="仿宋_GB2312" w:eastAsia="仿宋_GB2312" w:cs="仿宋_GB2312"/>
          <w:sz w:val="32"/>
          <w:szCs w:val="32"/>
          <w:u w:val="none"/>
        </w:rPr>
        <w:t>当事人上述行为违反了</w:t>
      </w:r>
      <w:r>
        <w:rPr>
          <w:rFonts w:hint="eastAsia" w:ascii="仿宋_GB2312" w:hAnsi="仿宋" w:eastAsia="仿宋_GB2312"/>
          <w:sz w:val="32"/>
          <w:szCs w:val="32"/>
          <w:u w:val="none"/>
        </w:rPr>
        <w:t>《中华人民共和国食品安全法》第三十四条第十项“禁止生产经营下列食品、食品添加剂、食品相关产品：（十）标注虚假生产日期、保质期或者超过保质期的食品、食品添加剂”的规定，依据《中华人民共和国食品安全法》第一百二十四条第一款第五项“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五）生产经营标注虚假生产日期、保质期或者超过保质期的食品、食品添加剂”的规定</w:t>
      </w:r>
      <w:r>
        <w:rPr>
          <w:rFonts w:hint="eastAsia" w:ascii="仿宋_GB2312" w:eastAsia="仿宋_GB2312"/>
          <w:sz w:val="32"/>
          <w:szCs w:val="32"/>
          <w:u w:val="none"/>
        </w:rPr>
        <w:t>，</w:t>
      </w:r>
      <w:r>
        <w:rPr>
          <w:rFonts w:hint="eastAsia" w:ascii="仿宋_GB2312" w:eastAsia="仿宋_GB2312"/>
          <w:bCs/>
          <w:sz w:val="32"/>
          <w:szCs w:val="32"/>
          <w:u w:val="none"/>
        </w:rPr>
        <w:t>对当事人进行行政</w:t>
      </w:r>
      <w:r>
        <w:rPr>
          <w:rFonts w:ascii="仿宋_GB2312" w:eastAsia="仿宋_GB2312"/>
          <w:bCs/>
          <w:sz w:val="32"/>
          <w:szCs w:val="32"/>
          <w:u w:val="none"/>
        </w:rPr>
        <w:t>处罚。</w:t>
      </w:r>
    </w:p>
    <w:p>
      <w:pPr>
        <w:snapToGrid w:val="0"/>
        <w:spacing w:line="560" w:lineRule="exact"/>
        <w:ind w:firstLine="640" w:firstLineChars="200"/>
        <w:rPr>
          <w:rFonts w:ascii="仿宋_GB2312" w:hAnsi="仿宋" w:eastAsia="仿宋_GB2312"/>
          <w:sz w:val="32"/>
          <w:szCs w:val="32"/>
          <w:u w:val="none"/>
        </w:rPr>
      </w:pPr>
      <w:r>
        <w:rPr>
          <w:rFonts w:hint="eastAsia" w:ascii="仿宋_GB2312" w:hAnsi="宋体" w:eastAsia="仿宋_GB2312" w:cs="宋体"/>
          <w:color w:val="212121"/>
          <w:kern w:val="0"/>
          <w:sz w:val="32"/>
          <w:szCs w:val="32"/>
          <w:u w:val="none"/>
        </w:rPr>
        <w:t>鉴于当事人</w:t>
      </w:r>
      <w:r>
        <w:rPr>
          <w:rStyle w:val="8"/>
          <w:rFonts w:hint="eastAsia" w:ascii="仿宋_GB2312" w:hAnsi="仿宋" w:eastAsia="仿宋_GB2312" w:cs="Arial"/>
          <w:i w:val="0"/>
          <w:iCs w:val="0"/>
          <w:sz w:val="32"/>
          <w:szCs w:val="32"/>
          <w:u w:val="none"/>
          <w:shd w:val="clear" w:color="auto" w:fill="FFFFFF"/>
        </w:rPr>
        <w:t>积极配合案件调查</w:t>
      </w:r>
      <w:r>
        <w:rPr>
          <w:rFonts w:hint="eastAsia" w:ascii="仿宋_GB2312" w:hAnsi="仿宋" w:eastAsia="仿宋_GB2312"/>
          <w:sz w:val="32"/>
          <w:szCs w:val="32"/>
          <w:u w:val="none"/>
        </w:rPr>
        <w:t>，符合《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规定的情形，予以减轻处罚</w:t>
      </w:r>
      <w:r>
        <w:rPr>
          <w:rFonts w:hint="eastAsia" w:ascii="仿宋_GB2312" w:eastAsia="仿宋_GB2312" w:cs="仿宋_GB2312"/>
          <w:bCs/>
          <w:sz w:val="32"/>
          <w:szCs w:val="32"/>
          <w:u w:val="none"/>
        </w:rPr>
        <w:t>。</w:t>
      </w:r>
    </w:p>
    <w:p>
      <w:pPr>
        <w:snapToGrid w:val="0"/>
        <w:spacing w:line="560" w:lineRule="exact"/>
        <w:ind w:firstLine="640" w:firstLineChars="200"/>
        <w:jc w:val="left"/>
        <w:rPr>
          <w:rFonts w:ascii="Times New Roman" w:hAnsi="Times New Roman" w:cs="宋体"/>
          <w:color w:val="000000"/>
          <w:sz w:val="44"/>
          <w:szCs w:val="44"/>
          <w:u w:val="none"/>
        </w:rPr>
      </w:pPr>
      <w:r>
        <w:rPr>
          <w:rFonts w:hint="eastAsia" w:ascii="仿宋_GB2312" w:eastAsia="仿宋_GB2312"/>
          <w:bCs/>
          <w:sz w:val="32"/>
          <w:szCs w:val="32"/>
          <w:u w:val="none"/>
        </w:rPr>
        <w:t>综上</w:t>
      </w:r>
      <w:r>
        <w:rPr>
          <w:rFonts w:ascii="仿宋_GB2312" w:eastAsia="仿宋_GB2312"/>
          <w:bCs/>
          <w:sz w:val="32"/>
          <w:szCs w:val="32"/>
          <w:u w:val="none"/>
        </w:rPr>
        <w:t>，当事人上述行为违反了</w:t>
      </w:r>
      <w:r>
        <w:rPr>
          <w:rFonts w:hint="eastAsia" w:ascii="仿宋_GB2312" w:hAnsi="仿宋" w:eastAsia="仿宋_GB2312"/>
          <w:sz w:val="32"/>
          <w:szCs w:val="32"/>
          <w:u w:val="none"/>
        </w:rPr>
        <w:t>《中华人民共和国食品安全</w:t>
      </w:r>
    </w:p>
    <w:p>
      <w:pPr>
        <w:snapToGrid w:val="0"/>
        <w:spacing w:line="560" w:lineRule="exact"/>
        <w:jc w:val="left"/>
        <w:rPr>
          <w:rFonts w:ascii="仿宋_GB2312" w:hAnsi="仿宋" w:eastAsia="仿宋_GB2312"/>
          <w:sz w:val="32"/>
          <w:szCs w:val="32"/>
          <w:u w:val="none"/>
        </w:rPr>
      </w:pPr>
      <w:r>
        <w:rPr>
          <w:rFonts w:hint="eastAsia" w:ascii="仿宋_GB2312" w:hAnsi="仿宋" w:eastAsia="仿宋_GB2312"/>
          <w:sz w:val="32"/>
          <w:szCs w:val="32"/>
          <w:u w:val="none"/>
        </w:rPr>
        <w:t>法》第三十四条第十项</w:t>
      </w:r>
      <w:r>
        <w:rPr>
          <w:rFonts w:hint="eastAsia" w:ascii="仿宋_GB2312" w:eastAsia="仿宋_GB2312"/>
          <w:bCs/>
          <w:sz w:val="32"/>
          <w:szCs w:val="32"/>
          <w:u w:val="none"/>
        </w:rPr>
        <w:t>的</w:t>
      </w:r>
      <w:r>
        <w:rPr>
          <w:rFonts w:ascii="仿宋_GB2312" w:eastAsia="仿宋_GB2312"/>
          <w:bCs/>
          <w:sz w:val="32"/>
          <w:szCs w:val="32"/>
          <w:u w:val="none"/>
        </w:rPr>
        <w:t>规定，依据</w:t>
      </w:r>
      <w:r>
        <w:rPr>
          <w:rFonts w:hint="eastAsia" w:ascii="仿宋_GB2312" w:hAnsi="仿宋" w:eastAsia="仿宋_GB2312"/>
          <w:sz w:val="32"/>
          <w:szCs w:val="32"/>
          <w:u w:val="none"/>
        </w:rPr>
        <w:t>《中华人民共和国食品安全法》第一百二十四条第一款第五项</w:t>
      </w:r>
      <w:r>
        <w:rPr>
          <w:rFonts w:hint="eastAsia" w:ascii="仿宋_GB2312" w:eastAsia="仿宋_GB2312"/>
          <w:bCs/>
          <w:sz w:val="32"/>
          <w:szCs w:val="32"/>
          <w:u w:val="none"/>
        </w:rPr>
        <w:t>的</w:t>
      </w:r>
      <w:r>
        <w:rPr>
          <w:rFonts w:ascii="仿宋_GB2312" w:eastAsia="仿宋_GB2312"/>
          <w:bCs/>
          <w:sz w:val="32"/>
          <w:szCs w:val="32"/>
          <w:u w:val="none"/>
        </w:rPr>
        <w:t>规定，</w:t>
      </w:r>
      <w:r>
        <w:rPr>
          <w:rFonts w:hint="eastAsia" w:ascii="Times New Roman" w:hAnsi="Times New Roman" w:eastAsia="仿宋_GB2312" w:cs="Mongolian Baiti"/>
          <w:sz w:val="32"/>
          <w:szCs w:val="32"/>
          <w:u w:val="none"/>
        </w:rPr>
        <w:t>现责令当事人停止</w:t>
      </w:r>
      <w:r>
        <w:rPr>
          <w:rFonts w:hint="eastAsia" w:ascii="仿宋_GB2312" w:eastAsia="仿宋_GB2312" w:cs="仿宋_GB2312"/>
          <w:bCs/>
          <w:sz w:val="32"/>
          <w:szCs w:val="32"/>
          <w:u w:val="none"/>
        </w:rPr>
        <w:t>经营超过保质期的食品</w:t>
      </w:r>
      <w:r>
        <w:rPr>
          <w:rFonts w:hint="eastAsia" w:ascii="仿宋_GB2312" w:eastAsia="仿宋_GB2312"/>
          <w:color w:val="000000"/>
          <w:sz w:val="32"/>
          <w:szCs w:val="32"/>
          <w:u w:val="none"/>
        </w:rPr>
        <w:t>的</w:t>
      </w:r>
      <w:r>
        <w:rPr>
          <w:rFonts w:ascii="仿宋_GB2312" w:eastAsia="仿宋_GB2312"/>
          <w:color w:val="000000"/>
          <w:sz w:val="32"/>
          <w:szCs w:val="32"/>
          <w:u w:val="none"/>
        </w:rPr>
        <w:t>行为</w:t>
      </w:r>
      <w:r>
        <w:rPr>
          <w:rFonts w:hint="eastAsia" w:ascii="Times New Roman" w:hAnsi="Times New Roman" w:eastAsia="仿宋_GB2312" w:cs="Mongolian Baiti"/>
          <w:sz w:val="32"/>
          <w:szCs w:val="32"/>
          <w:u w:val="none"/>
        </w:rPr>
        <w:t>，并</w:t>
      </w:r>
      <w:r>
        <w:rPr>
          <w:rFonts w:ascii="仿宋_GB2312" w:eastAsia="仿宋_GB2312"/>
          <w:bCs/>
          <w:sz w:val="32"/>
          <w:szCs w:val="32"/>
          <w:u w:val="none"/>
        </w:rPr>
        <w:t>决定处罚如下：</w:t>
      </w:r>
      <w:r>
        <w:rPr>
          <w:rFonts w:hint="eastAsia" w:ascii="仿宋_GB2312" w:hAnsi="仿宋" w:eastAsia="仿宋_GB2312"/>
          <w:sz w:val="32"/>
          <w:szCs w:val="32"/>
          <w:u w:val="none"/>
        </w:rPr>
        <w:t>1.没收超过保质期的</w:t>
      </w:r>
      <w:r>
        <w:rPr>
          <w:rFonts w:hint="eastAsia" w:ascii="仿宋_GB2312" w:eastAsia="仿宋_GB2312" w:cs="仿宋_GB2312"/>
          <w:bCs/>
          <w:sz w:val="32"/>
          <w:szCs w:val="32"/>
          <w:u w:val="none"/>
        </w:rPr>
        <w:t>汤达人酸酸辣辣豚骨面</w:t>
      </w:r>
      <w:r>
        <w:rPr>
          <w:rFonts w:hint="eastAsia" w:ascii="仿宋_GB2312" w:hAnsi="仿宋" w:eastAsia="仿宋_GB2312"/>
          <w:sz w:val="32"/>
          <w:szCs w:val="32"/>
          <w:u w:val="none"/>
        </w:rPr>
        <w:t>2袋；2.没收违法所得0.5元；3.罚款3000元。</w:t>
      </w:r>
    </w:p>
    <w:p>
      <w:pPr>
        <w:snapToGrid w:val="0"/>
        <w:spacing w:line="560" w:lineRule="exact"/>
        <w:ind w:firstLine="640" w:firstLineChars="200"/>
        <w:jc w:val="left"/>
        <w:rPr>
          <w:rFonts w:ascii="仿宋_GB2312" w:hAnsi="仿宋" w:eastAsia="仿宋_GB2312"/>
          <w:sz w:val="32"/>
          <w:szCs w:val="32"/>
          <w:u w:val="none"/>
        </w:rPr>
      </w:pPr>
      <w:r>
        <w:rPr>
          <w:rFonts w:hint="eastAsia" w:ascii="仿宋_GB2312" w:eastAsia="仿宋_GB2312" w:cs="仿宋_GB2312"/>
          <w:sz w:val="32"/>
          <w:szCs w:val="32"/>
          <w:u w:val="none"/>
        </w:rPr>
        <w:t>当事人应当自收到本行政处罚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或者通过电子支付系统缴纳。到期不缴纳罚款的，依据《中华人民共和国行政处罚法》第七十二条的规定，本局将每日按罚款数额的百分之三加处罚款，并依法申请人民法院强制执行。</w:t>
      </w:r>
    </w:p>
    <w:p>
      <w:pPr>
        <w:snapToGrid w:val="0"/>
        <w:spacing w:line="560" w:lineRule="exact"/>
        <w:ind w:firstLine="640" w:firstLineChars="200"/>
        <w:jc w:val="left"/>
        <w:rPr>
          <w:rFonts w:ascii="仿宋_GB2312" w:eastAsia="仿宋_GB2312" w:cs="仿宋_GB2312"/>
          <w:kern w:val="1"/>
          <w:sz w:val="32"/>
          <w:szCs w:val="32"/>
          <w:u w:val="none"/>
        </w:rPr>
      </w:pPr>
      <w:r>
        <w:rPr>
          <w:rFonts w:hint="eastAsia" w:ascii="仿宋_GB2312" w:eastAsia="仿宋_GB2312" w:cs="仿宋_GB2312"/>
          <w:kern w:val="1"/>
          <w:sz w:val="32"/>
          <w:szCs w:val="32"/>
          <w:u w:val="none"/>
        </w:rPr>
        <w:t>如你</w:t>
      </w:r>
      <w:r>
        <w:rPr>
          <w:rFonts w:ascii="仿宋_GB2312" w:eastAsia="仿宋_GB2312" w:cs="仿宋_GB2312"/>
          <w:kern w:val="1"/>
          <w:sz w:val="32"/>
          <w:szCs w:val="32"/>
          <w:u w:val="none"/>
        </w:rPr>
        <w:t>（单位）</w:t>
      </w:r>
      <w:r>
        <w:rPr>
          <w:rFonts w:hint="eastAsia" w:ascii="仿宋_GB2312" w:eastAsia="仿宋_GB2312" w:cs="仿宋_GB2312"/>
          <w:kern w:val="1"/>
          <w:sz w:val="32"/>
          <w:szCs w:val="32"/>
          <w:u w:val="none"/>
        </w:rPr>
        <w:t>不服本行政处罚决定，可以在收到本行政处罚决定书之日起六十日内向天津市北辰区人民政府申请行政复议，也可以在六个月内依法向天津市北辰区人民法院提起行政诉讼。申请</w:t>
      </w:r>
      <w:r>
        <w:rPr>
          <w:rFonts w:ascii="仿宋_GB2312" w:eastAsia="仿宋_GB2312" w:cs="仿宋_GB2312"/>
          <w:kern w:val="1"/>
          <w:sz w:val="32"/>
          <w:szCs w:val="32"/>
          <w:u w:val="none"/>
        </w:rPr>
        <w:t>行政复议或者行政诉讼期间，行政处罚</w:t>
      </w:r>
      <w:r>
        <w:rPr>
          <w:rFonts w:hint="eastAsia" w:ascii="仿宋_GB2312" w:eastAsia="仿宋_GB2312" w:cs="仿宋_GB2312"/>
          <w:kern w:val="1"/>
          <w:sz w:val="32"/>
          <w:szCs w:val="32"/>
          <w:u w:val="none"/>
        </w:rPr>
        <w:t>不停止</w:t>
      </w:r>
      <w:r>
        <w:rPr>
          <w:rFonts w:ascii="仿宋_GB2312" w:eastAsia="仿宋_GB2312" w:cs="仿宋_GB2312"/>
          <w:kern w:val="1"/>
          <w:sz w:val="32"/>
          <w:szCs w:val="32"/>
          <w:u w:val="none"/>
        </w:rPr>
        <w:t>执行。</w:t>
      </w:r>
    </w:p>
    <w:p>
      <w:pPr>
        <w:spacing w:line="520" w:lineRule="exact"/>
        <w:ind w:firstLine="601"/>
        <w:jc w:val="center"/>
        <w:rPr>
          <w:rFonts w:hint="eastAsia"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               </w:t>
      </w:r>
    </w:p>
    <w:p>
      <w:pPr>
        <w:spacing w:line="520" w:lineRule="exact"/>
        <w:ind w:firstLine="601"/>
        <w:jc w:val="center"/>
        <w:rPr>
          <w:rFonts w:hint="eastAsia" w:ascii="Times New Roman" w:hAnsi="Times New Roman" w:eastAsia="仿宋_GB2312" w:cs="仿宋"/>
          <w:color w:val="000000"/>
          <w:sz w:val="32"/>
          <w:szCs w:val="32"/>
          <w:u w:val="none"/>
        </w:rPr>
      </w:pPr>
    </w:p>
    <w:p>
      <w:pPr>
        <w:spacing w:line="520" w:lineRule="exact"/>
        <w:ind w:firstLine="601"/>
        <w:jc w:val="center"/>
        <w:rPr>
          <w:rFonts w:hint="eastAsia" w:ascii="Times New Roman" w:hAnsi="Times New Roman" w:eastAsia="仿宋_GB2312" w:cs="仿宋"/>
          <w:color w:val="000000"/>
          <w:sz w:val="32"/>
          <w:szCs w:val="32"/>
          <w:u w:val="none"/>
        </w:rPr>
      </w:pPr>
    </w:p>
    <w:p>
      <w:pPr>
        <w:spacing w:line="520" w:lineRule="exact"/>
        <w:ind w:firstLine="601"/>
        <w:jc w:val="center"/>
        <w:rPr>
          <w:rFonts w:hint="eastAsia" w:ascii="Times New Roman" w:hAnsi="Times New Roman" w:eastAsia="仿宋_GB2312" w:cs="仿宋"/>
          <w:color w:val="000000"/>
          <w:sz w:val="32"/>
          <w:szCs w:val="32"/>
          <w:u w:val="none"/>
        </w:rPr>
      </w:pPr>
    </w:p>
    <w:p>
      <w:pPr>
        <w:spacing w:line="520" w:lineRule="exact"/>
        <w:ind w:firstLine="601"/>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lang w:val="en-US" w:eastAsia="zh-CN"/>
        </w:rPr>
        <w:t xml:space="preserve">     </w:t>
      </w:r>
      <w:r>
        <w:rPr>
          <w:rFonts w:hint="eastAsia" w:ascii="Times New Roman" w:hAnsi="Times New Roman" w:eastAsia="仿宋_GB2312" w:cs="仿宋"/>
          <w:color w:val="000000"/>
          <w:sz w:val="32"/>
          <w:szCs w:val="32"/>
          <w:u w:val="none"/>
        </w:rPr>
        <w:t xml:space="preserve"> 天津市北辰区市场监督管理局</w:t>
      </w:r>
    </w:p>
    <w:p>
      <w:pPr>
        <w:spacing w:line="520" w:lineRule="exact"/>
        <w:ind w:right="640" w:firstLine="600"/>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          </w:t>
      </w:r>
      <w:r>
        <w:rPr>
          <w:rFonts w:ascii="Times New Roman" w:hAnsi="Times New Roman" w:eastAsia="仿宋_GB2312" w:cs="仿宋"/>
          <w:color w:val="000000"/>
          <w:sz w:val="32"/>
          <w:szCs w:val="32"/>
          <w:u w:val="none"/>
        </w:rPr>
        <w:t xml:space="preserve">  </w:t>
      </w:r>
      <w:bookmarkStart w:id="0" w:name="_GoBack"/>
      <w:bookmarkEnd w:id="0"/>
      <w:r>
        <w:rPr>
          <w:rFonts w:hint="eastAsia" w:ascii="Times New Roman" w:hAnsi="Times New Roman" w:eastAsia="仿宋_GB2312" w:cs="仿宋"/>
          <w:color w:val="000000"/>
          <w:sz w:val="32"/>
          <w:szCs w:val="32"/>
          <w:u w:val="none"/>
        </w:rPr>
        <w:t>202</w:t>
      </w:r>
      <w:r>
        <w:rPr>
          <w:rFonts w:ascii="Times New Roman" w:hAnsi="Times New Roman" w:eastAsia="仿宋_GB2312" w:cs="仿宋"/>
          <w:color w:val="000000"/>
          <w:sz w:val="32"/>
          <w:szCs w:val="32"/>
          <w:u w:val="none"/>
        </w:rPr>
        <w:t>2</w:t>
      </w:r>
      <w:r>
        <w:rPr>
          <w:rFonts w:hint="eastAsia" w:ascii="Times New Roman" w:hAnsi="Times New Roman" w:eastAsia="仿宋_GB2312" w:cs="仿宋"/>
          <w:color w:val="000000"/>
          <w:sz w:val="32"/>
          <w:szCs w:val="32"/>
          <w:u w:val="none"/>
        </w:rPr>
        <w:t>年10月28日</w:t>
      </w:r>
    </w:p>
    <w:p>
      <w:pPr>
        <w:spacing w:line="520" w:lineRule="exact"/>
        <w:ind w:right="640" w:firstLine="600"/>
        <w:jc w:val="center"/>
        <w:rPr>
          <w:rFonts w:hint="eastAsia" w:ascii="黑体" w:hAnsi="黑体" w:eastAsia="黑体" w:cs="黑体"/>
          <w:color w:val="000000"/>
          <w:sz w:val="30"/>
          <w:szCs w:val="30"/>
          <w:u w:val="none"/>
        </w:rPr>
      </w:pPr>
    </w:p>
    <w:p>
      <w:pPr>
        <w:spacing w:line="520" w:lineRule="exact"/>
        <w:jc w:val="center"/>
        <w:rPr>
          <w:rFonts w:ascii="Times New Roman" w:hAnsi="Times New Roman" w:cs="宋体"/>
          <w:color w:val="000000"/>
          <w:sz w:val="44"/>
          <w:szCs w:val="44"/>
          <w:u w:val="none"/>
        </w:rPr>
      </w:pPr>
    </w:p>
    <w:sectPr>
      <w:pgSz w:w="11906" w:h="16838"/>
      <w:pgMar w:top="1440" w:right="1559" w:bottom="1361"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Arial">
    <w:altName w:val="Nimbus Roman No9 L"/>
    <w:panose1 w:val="020B0604020202020204"/>
    <w:charset w:val="00"/>
    <w:family w:val="swiss"/>
    <w:pitch w:val="default"/>
    <w:sig w:usb0="00000000" w:usb1="00000000" w:usb2="00000009" w:usb3="00000000" w:csb0="000001F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6B"/>
    <w:rsid w:val="00010958"/>
    <w:rsid w:val="00020BD6"/>
    <w:rsid w:val="00097BA3"/>
    <w:rsid w:val="000A2806"/>
    <w:rsid w:val="001067FF"/>
    <w:rsid w:val="001119AD"/>
    <w:rsid w:val="00195A3D"/>
    <w:rsid w:val="001B0F2D"/>
    <w:rsid w:val="001B64A7"/>
    <w:rsid w:val="001F3B37"/>
    <w:rsid w:val="002552CB"/>
    <w:rsid w:val="00255BAE"/>
    <w:rsid w:val="00297EAB"/>
    <w:rsid w:val="002B1236"/>
    <w:rsid w:val="002B66C1"/>
    <w:rsid w:val="002D46C7"/>
    <w:rsid w:val="00307A35"/>
    <w:rsid w:val="00375E5F"/>
    <w:rsid w:val="00384A91"/>
    <w:rsid w:val="00393B49"/>
    <w:rsid w:val="003A23E5"/>
    <w:rsid w:val="003C7A1D"/>
    <w:rsid w:val="003D10BE"/>
    <w:rsid w:val="003D1749"/>
    <w:rsid w:val="004077B8"/>
    <w:rsid w:val="004236FF"/>
    <w:rsid w:val="00450382"/>
    <w:rsid w:val="004B09E2"/>
    <w:rsid w:val="004B1E0A"/>
    <w:rsid w:val="004B1EF9"/>
    <w:rsid w:val="004D19B9"/>
    <w:rsid w:val="004F7283"/>
    <w:rsid w:val="00521F53"/>
    <w:rsid w:val="00523B7A"/>
    <w:rsid w:val="005363E8"/>
    <w:rsid w:val="00586CCA"/>
    <w:rsid w:val="005C27F7"/>
    <w:rsid w:val="00626739"/>
    <w:rsid w:val="006958BA"/>
    <w:rsid w:val="006E572E"/>
    <w:rsid w:val="006F10D0"/>
    <w:rsid w:val="007010B3"/>
    <w:rsid w:val="007637AB"/>
    <w:rsid w:val="007A0DBB"/>
    <w:rsid w:val="007A1B5A"/>
    <w:rsid w:val="007B1827"/>
    <w:rsid w:val="007D4379"/>
    <w:rsid w:val="007E44E6"/>
    <w:rsid w:val="00803295"/>
    <w:rsid w:val="008663BE"/>
    <w:rsid w:val="008C6FC3"/>
    <w:rsid w:val="008F7844"/>
    <w:rsid w:val="009324FF"/>
    <w:rsid w:val="009476ED"/>
    <w:rsid w:val="00976F1E"/>
    <w:rsid w:val="0098174B"/>
    <w:rsid w:val="009B267D"/>
    <w:rsid w:val="009F7C39"/>
    <w:rsid w:val="00A07B3D"/>
    <w:rsid w:val="00A258FE"/>
    <w:rsid w:val="00A32811"/>
    <w:rsid w:val="00A33977"/>
    <w:rsid w:val="00A36E1E"/>
    <w:rsid w:val="00A445D1"/>
    <w:rsid w:val="00A52E05"/>
    <w:rsid w:val="00AB76AD"/>
    <w:rsid w:val="00AD65B9"/>
    <w:rsid w:val="00AE3682"/>
    <w:rsid w:val="00AF3AF4"/>
    <w:rsid w:val="00B00F88"/>
    <w:rsid w:val="00B022BE"/>
    <w:rsid w:val="00B05CDB"/>
    <w:rsid w:val="00B2711B"/>
    <w:rsid w:val="00B40C5E"/>
    <w:rsid w:val="00B61FB1"/>
    <w:rsid w:val="00B63EB5"/>
    <w:rsid w:val="00B80309"/>
    <w:rsid w:val="00B85D45"/>
    <w:rsid w:val="00B8791B"/>
    <w:rsid w:val="00BC11A5"/>
    <w:rsid w:val="00BC1B0E"/>
    <w:rsid w:val="00C65C29"/>
    <w:rsid w:val="00C801FF"/>
    <w:rsid w:val="00C849D8"/>
    <w:rsid w:val="00C8636B"/>
    <w:rsid w:val="00CC44E9"/>
    <w:rsid w:val="00CD58F2"/>
    <w:rsid w:val="00CD7ACC"/>
    <w:rsid w:val="00CE6F8A"/>
    <w:rsid w:val="00CF09B6"/>
    <w:rsid w:val="00D03002"/>
    <w:rsid w:val="00D0536B"/>
    <w:rsid w:val="00D40630"/>
    <w:rsid w:val="00D81A10"/>
    <w:rsid w:val="00DA11A1"/>
    <w:rsid w:val="00DB35A7"/>
    <w:rsid w:val="00DC077E"/>
    <w:rsid w:val="00E1192C"/>
    <w:rsid w:val="00E4042A"/>
    <w:rsid w:val="00E46E3C"/>
    <w:rsid w:val="00E97D7C"/>
    <w:rsid w:val="00EB4F57"/>
    <w:rsid w:val="00EC5188"/>
    <w:rsid w:val="00EC59C0"/>
    <w:rsid w:val="00EC77A9"/>
    <w:rsid w:val="00EE0C58"/>
    <w:rsid w:val="00F176A2"/>
    <w:rsid w:val="00F279CA"/>
    <w:rsid w:val="00F30103"/>
    <w:rsid w:val="00F76323"/>
    <w:rsid w:val="00F76F3F"/>
    <w:rsid w:val="00FC07D2"/>
    <w:rsid w:val="00FE262F"/>
    <w:rsid w:val="00FF7BAB"/>
    <w:rsid w:val="1AF77641"/>
    <w:rsid w:val="33DF5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Emphasis"/>
    <w:basedOn w:val="7"/>
    <w:qFormat/>
    <w:uiPriority w:val="0"/>
    <w:rPr>
      <w:i/>
      <w:iCs/>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qFormat/>
    <w:uiPriority w:val="99"/>
    <w:rPr>
      <w:rFonts w:ascii="Calibri" w:hAnsi="Calibri" w:eastAsia="宋体" w:cs="Times New Roman"/>
      <w:sz w:val="18"/>
      <w:szCs w:val="18"/>
    </w:rPr>
  </w:style>
  <w:style w:type="paragraph" w:styleId="12">
    <w:name w:val="List Paragraph"/>
    <w:basedOn w:val="1"/>
    <w:qFormat/>
    <w:uiPriority w:val="34"/>
    <w:pPr>
      <w:ind w:firstLine="420" w:firstLineChars="200"/>
    </w:pPr>
  </w:style>
  <w:style w:type="character" w:customStyle="1" w:styleId="13">
    <w:name w:val="日期 Char"/>
    <w:basedOn w:val="7"/>
    <w:link w:val="2"/>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354</Words>
  <Characters>2023</Characters>
  <Lines>16</Lines>
  <Paragraphs>4</Paragraphs>
  <TotalTime>2101</TotalTime>
  <ScaleCrop>false</ScaleCrop>
  <LinksUpToDate>false</LinksUpToDate>
  <CharactersWithSpaces>2373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2019-04-05T21:14:00Z</dcterms:created>
  <dc:creator>秦海龙</dc:creator>
  <cp:lastModifiedBy>admin</cp:lastModifiedBy>
  <cp:lastPrinted>2021-01-06T09:00:00Z</cp:lastPrinted>
  <dcterms:modified xsi:type="dcterms:W3CDTF">2022-10-28T13:48:11Z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