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sz w:val="44"/>
          <w:szCs w:val="44"/>
          <w:u w:val="none"/>
        </w:rPr>
        <w:t>天津市北辰区</w:t>
      </w:r>
      <w:r>
        <w:rPr>
          <w:rFonts w:hint="eastAsia" w:ascii="Times New Roman" w:hAnsi="Times New Roman" w:eastAsia="方正小标宋简体" w:cs="方正小标宋简体"/>
          <w:bCs/>
          <w:color w:val="000000"/>
          <w:sz w:val="44"/>
          <w:szCs w:val="44"/>
          <w:u w:val="none"/>
        </w:rPr>
        <w:t>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hint="eastAsia" w:ascii="仿宋_GB2312" w:hAnsi="仿宋_GB2312" w:eastAsia="仿宋_GB2312" w:cs="仿宋_GB2312"/>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2065"/>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IteKJraAAAACwEAAA8AAAAAAAAAAQAgAAAAOAAAAGRycy9k&#10;b3ducmV2LnhtbFBLAQIUABQAAAAIAIdO4kAE603c6gEAALADAAAOAAAAAAAAAAEAIAAAAD8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 xml:space="preserve"> </w:t>
      </w:r>
      <w:r>
        <w:rPr>
          <w:rFonts w:hint="eastAsia" w:ascii="仿宋_GB2312" w:hAnsi="仿宋_GB2312" w:eastAsia="仿宋_GB2312" w:cs="仿宋_GB2312"/>
          <w:color w:val="000000"/>
          <w:sz w:val="32"/>
          <w:szCs w:val="32"/>
          <w:u w:val="none"/>
        </w:rPr>
        <w:t xml:space="preserve">津辰 </w:t>
      </w:r>
      <w:r>
        <w:rPr>
          <w:rFonts w:hint="eastAsia" w:ascii="仿宋_GB2312"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 xml:space="preserve"> </w:t>
      </w:r>
      <w:r>
        <w:rPr>
          <w:rFonts w:hint="eastAsia" w:ascii="仿宋_GB2312" w:hAnsi="仿宋_GB2312" w:eastAsia="仿宋_GB2312" w:cs="仿宋_GB2312"/>
          <w:bCs/>
          <w:color w:val="000000"/>
          <w:sz w:val="32"/>
          <w:szCs w:val="32"/>
          <w:u w:val="none"/>
          <w:lang w:val="en-US" w:eastAsia="zh-CN"/>
        </w:rPr>
        <w:t xml:space="preserve">2022 </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rPr>
        <w:t xml:space="preserve"> </w:t>
      </w:r>
      <w:r>
        <w:rPr>
          <w:rFonts w:hint="default" w:ascii="仿宋_GB2312" w:hAnsi="仿宋_GB2312" w:eastAsia="仿宋_GB2312" w:cs="仿宋_GB2312"/>
          <w:bCs/>
          <w:color w:val="000000"/>
          <w:sz w:val="32"/>
          <w:szCs w:val="32"/>
          <w:u w:val="none"/>
          <w:lang w:val="en" w:eastAsia="zh-CN"/>
        </w:rPr>
        <w:t>769</w:t>
      </w:r>
      <w:r>
        <w:rPr>
          <w:rFonts w:hint="eastAsia" w:ascii="仿宋_GB2312" w:hAnsi="仿宋_GB2312" w:eastAsia="仿宋_GB2312" w:cs="仿宋_GB2312"/>
          <w:bCs/>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04" w:lineRule="auto"/>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default" w:ascii="Times New Roman" w:hAnsi="Times New Roman" w:eastAsia="仿宋_GB2312" w:cs="Mongolian Baiti"/>
          <w:kern w:val="1"/>
          <w:sz w:val="32"/>
          <w:szCs w:val="32"/>
          <w:u w:val="none"/>
          <w:lang w:val="en"/>
        </w:rPr>
        <w:t>天津金宇车业有限公司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4" w:lineRule="auto"/>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主体资格证照名称：</w:t>
      </w:r>
      <w:r>
        <w:rPr>
          <w:rFonts w:hint="eastAsia" w:ascii="仿宋_GB2312" w:hAnsi="仿宋_GB2312" w:eastAsia="仿宋_GB2312" w:cs="仿宋_GB2312"/>
          <w:kern w:val="1"/>
          <w:sz w:val="32"/>
          <w:szCs w:val="32"/>
          <w:u w:val="none"/>
        </w:rPr>
        <w:t xml:space="preserve">  营业执照                                   </w:t>
      </w:r>
    </w:p>
    <w:p>
      <w:pPr>
        <w:keepNext w:val="0"/>
        <w:keepLines w:val="0"/>
        <w:pageBreakBefore w:val="0"/>
        <w:widowControl w:val="0"/>
        <w:kinsoku/>
        <w:wordWrap/>
        <w:overflowPunct/>
        <w:topLinePunct w:val="0"/>
        <w:autoSpaceDE/>
        <w:autoSpaceDN/>
        <w:bidi w:val="0"/>
        <w:adjustRightInd/>
        <w:snapToGrid/>
        <w:spacing w:line="504" w:lineRule="auto"/>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统一社会信用代码（注册号）：</w:t>
      </w:r>
      <w:r>
        <w:rPr>
          <w:rFonts w:hint="default" w:ascii="仿宋_GB2312" w:hAnsi="Mongolian Baiti" w:eastAsia="仿宋_GB2312" w:cs="Mongolian Baiti"/>
          <w:kern w:val="1"/>
          <w:sz w:val="32"/>
          <w:szCs w:val="32"/>
          <w:u w:val="none"/>
          <w:lang w:val="en"/>
        </w:rPr>
        <w:t>91120113MA0789HBXC</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4" w:lineRule="auto"/>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住所（住址）：</w:t>
      </w:r>
      <w:r>
        <w:rPr>
          <w:rFonts w:hint="default" w:ascii="仿宋_GB2312" w:hAnsi="Mongolian Baiti" w:eastAsia="仿宋_GB2312" w:cs="Mongolian Baiti"/>
          <w:kern w:val="1"/>
          <w:sz w:val="24"/>
          <w:szCs w:val="24"/>
          <w:u w:val="none"/>
          <w:lang w:val="en"/>
        </w:rPr>
        <w:t>天津市北辰区天津高端装备制造产业园万发分园（金尚电动车院内）</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4" w:lineRule="auto"/>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w:t>
      </w:r>
      <w:r>
        <w:rPr>
          <w:rFonts w:hint="eastAsia" w:ascii="Times New Roman" w:hAnsi="Times New Roman" w:eastAsia="仿宋_GB2312" w:cs="Mongolian Baiti"/>
          <w:kern w:val="1"/>
          <w:sz w:val="32"/>
          <w:szCs w:val="32"/>
          <w:u w:val="none"/>
          <w:lang w:val="en" w:eastAsia="zh-CN"/>
        </w:rPr>
        <w:t>李金刚</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4" w:lineRule="auto"/>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eastAsia="zh-CN"/>
        </w:rPr>
        <w:t>身份证号：</w:t>
      </w:r>
      <w:r>
        <w:rPr>
          <w:rFonts w:hint="default" w:ascii="仿宋_GB2312" w:hAnsi="仿宋_GB2312" w:eastAsia="仿宋_GB2312" w:cs="仿宋_GB2312"/>
          <w:color w:val="000000"/>
          <w:sz w:val="32"/>
          <w:szCs w:val="32"/>
          <w:u w:val="none"/>
          <w:lang w:val="en" w:eastAsia="zh-CN"/>
        </w:rPr>
        <w:t>/</w:t>
      </w: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4" w:lineRule="auto"/>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案件来源</w:t>
      </w:r>
      <w:r>
        <w:rPr>
          <w:rFonts w:hint="eastAsia" w:ascii="仿宋_GB2312" w:hAnsi="仿宋_GB2312" w:eastAsia="仿宋_GB2312" w:cs="仿宋_GB2312"/>
          <w:color w:val="000000"/>
          <w:sz w:val="32"/>
          <w:szCs w:val="32"/>
          <w:u w:val="none"/>
          <w:lang w:eastAsia="zh-CN"/>
        </w:rPr>
        <w:t>及</w:t>
      </w:r>
      <w:r>
        <w:rPr>
          <w:rFonts w:hint="eastAsia" w:ascii="仿宋_GB2312" w:hAnsi="仿宋_GB2312" w:eastAsia="仿宋_GB2312" w:cs="仿宋_GB2312"/>
          <w:color w:val="000000"/>
          <w:sz w:val="32"/>
          <w:szCs w:val="32"/>
          <w:u w:val="none"/>
        </w:rPr>
        <w:t>调查经过：</w:t>
      </w:r>
      <w:r>
        <w:rPr>
          <w:rFonts w:hint="eastAsia" w:ascii="Times New Roman" w:hAnsi="Times New Roman" w:eastAsia="仿宋_GB2312" w:cs="仿宋_GB2312"/>
          <w:sz w:val="32"/>
          <w:szCs w:val="32"/>
          <w:u w:val="none"/>
        </w:rPr>
        <w:t>2022年</w:t>
      </w:r>
      <w:r>
        <w:rPr>
          <w:rFonts w:hint="eastAsia" w:ascii="Times New Roman" w:hAnsi="Times New Roman" w:eastAsia="仿宋_GB2312" w:cs="仿宋_GB2312"/>
          <w:sz w:val="32"/>
          <w:szCs w:val="32"/>
          <w:u w:val="none"/>
          <w:lang w:val="en-US" w:eastAsia="zh-CN"/>
        </w:rPr>
        <w:t>8</w:t>
      </w:r>
      <w:r>
        <w:rPr>
          <w:rFonts w:hint="eastAsia" w:ascii="Times New Roman" w:hAnsi="Times New Roman" w:eastAsia="仿宋_GB2312" w:cs="仿宋_GB2312"/>
          <w:sz w:val="32"/>
          <w:szCs w:val="32"/>
          <w:u w:val="none"/>
        </w:rPr>
        <w:t>月1</w:t>
      </w:r>
      <w:r>
        <w:rPr>
          <w:rFonts w:hint="eastAsia" w:ascii="Times New Roman" w:hAnsi="Times New Roman" w:eastAsia="仿宋_GB2312" w:cs="仿宋_GB2312"/>
          <w:sz w:val="32"/>
          <w:szCs w:val="32"/>
          <w:u w:val="none"/>
          <w:lang w:val="en-US" w:eastAsia="zh-CN"/>
        </w:rPr>
        <w:t>6</w:t>
      </w:r>
      <w:r>
        <w:rPr>
          <w:rFonts w:hint="eastAsia" w:ascii="Times New Roman" w:hAnsi="Times New Roman" w:eastAsia="仿宋_GB2312" w:cs="仿宋_GB2312"/>
          <w:sz w:val="32"/>
          <w:szCs w:val="32"/>
          <w:u w:val="none"/>
        </w:rPr>
        <w:t>日我局接到</w:t>
      </w:r>
      <w:r>
        <w:rPr>
          <w:rFonts w:hint="eastAsia" w:ascii="Times New Roman" w:hAnsi="Times New Roman" w:eastAsia="仿宋_GB2312" w:cs="仿宋_GB2312"/>
          <w:sz w:val="32"/>
          <w:szCs w:val="32"/>
          <w:u w:val="none"/>
          <w:lang w:eastAsia="zh-CN"/>
        </w:rPr>
        <w:t>天津中标检测认证有限公司出具的检验报告</w:t>
      </w:r>
      <w:r>
        <w:rPr>
          <w:rFonts w:hint="eastAsia" w:ascii="Times New Roman" w:hAnsi="Times New Roman" w:eastAsia="仿宋_GB2312" w:cs="仿宋_GB2312"/>
          <w:sz w:val="32"/>
          <w:szCs w:val="32"/>
          <w:u w:val="none"/>
        </w:rPr>
        <w:t>（No:</w:t>
      </w:r>
      <w:r>
        <w:rPr>
          <w:rFonts w:hint="eastAsia" w:ascii="Times New Roman" w:hAnsi="Times New Roman" w:eastAsia="仿宋_GB2312" w:cs="仿宋_GB2312"/>
          <w:sz w:val="32"/>
          <w:szCs w:val="32"/>
          <w:u w:val="none"/>
          <w:lang w:val="en-US" w:eastAsia="zh-CN"/>
        </w:rPr>
        <w:t>ZB-2022-DC011</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eastAsia="zh-CN"/>
        </w:rPr>
        <w:t>以及产品质量监督抽查结果通知书（编号：</w:t>
      </w:r>
      <w:r>
        <w:rPr>
          <w:rFonts w:hint="eastAsia" w:ascii="Times New Roman" w:hAnsi="Times New Roman" w:eastAsia="仿宋_GB2312" w:cs="仿宋_GB2312"/>
          <w:sz w:val="32"/>
          <w:szCs w:val="32"/>
          <w:u w:val="none"/>
          <w:lang w:val="en-US" w:eastAsia="zh-CN"/>
        </w:rPr>
        <w:t>JD2022-DDC-005</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显示</w:t>
      </w:r>
      <w:r>
        <w:rPr>
          <w:rFonts w:hint="default" w:ascii="Times New Roman" w:hAnsi="Times New Roman" w:eastAsia="仿宋_GB2312" w:cs="仿宋_GB2312"/>
          <w:sz w:val="32"/>
          <w:szCs w:val="32"/>
          <w:u w:val="none"/>
          <w:lang w:val="en"/>
        </w:rPr>
        <w:t>天津金宇车业有限公司</w:t>
      </w:r>
      <w:r>
        <w:rPr>
          <w:rFonts w:hint="eastAsia" w:ascii="Times New Roman" w:hAnsi="Times New Roman" w:eastAsia="仿宋_GB2312" w:cs="仿宋_GB2312"/>
          <w:sz w:val="32"/>
          <w:szCs w:val="32"/>
          <w:u w:val="none"/>
        </w:rPr>
        <w:t>、生产日期为202</w:t>
      </w: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4</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30</w:t>
      </w:r>
      <w:r>
        <w:rPr>
          <w:rFonts w:hint="eastAsia" w:ascii="Times New Roman" w:hAnsi="Times New Roman" w:eastAsia="仿宋_GB2312" w:cs="仿宋_GB2312"/>
          <w:sz w:val="32"/>
          <w:szCs w:val="32"/>
          <w:u w:val="none"/>
        </w:rPr>
        <w:t>日、商标为</w:t>
      </w:r>
      <w:r>
        <w:rPr>
          <w:rFonts w:hint="eastAsia" w:ascii="Times New Roman" w:hAnsi="Times New Roman" w:eastAsia="仿宋_GB2312" w:cs="仿宋_GB2312"/>
          <w:sz w:val="32"/>
          <w:szCs w:val="32"/>
          <w:u w:val="none"/>
          <w:lang w:eastAsia="zh-CN"/>
        </w:rPr>
        <w:t>森地</w:t>
      </w:r>
      <w:r>
        <w:rPr>
          <w:rFonts w:hint="eastAsia" w:ascii="Times New Roman" w:hAnsi="Times New Roman" w:eastAsia="仿宋_GB2312" w:cs="仿宋_GB2312"/>
          <w:sz w:val="32"/>
          <w:szCs w:val="32"/>
          <w:u w:val="none"/>
        </w:rPr>
        <w:t>、规格型号为</w:t>
      </w:r>
      <w:r>
        <w:rPr>
          <w:rFonts w:hint="default" w:ascii="Times New Roman" w:hAnsi="Times New Roman" w:eastAsia="仿宋_GB2312" w:cs="仿宋_GB2312"/>
          <w:sz w:val="32"/>
          <w:szCs w:val="32"/>
          <w:u w:val="none"/>
          <w:lang w:val="en"/>
        </w:rPr>
        <w:t>TDT008Z</w:t>
      </w:r>
      <w:r>
        <w:rPr>
          <w:rFonts w:hint="eastAsia" w:ascii="Times New Roman" w:hAnsi="Times New Roman" w:eastAsia="仿宋_GB2312" w:cs="仿宋_GB2312"/>
          <w:sz w:val="32"/>
          <w:szCs w:val="32"/>
          <w:u w:val="none"/>
        </w:rPr>
        <w:t>的电动自行车，经</w:t>
      </w:r>
      <w:r>
        <w:rPr>
          <w:rFonts w:hint="eastAsia" w:ascii="Times New Roman" w:hAnsi="Times New Roman" w:eastAsia="仿宋_GB2312" w:cs="仿宋_GB2312"/>
          <w:sz w:val="32"/>
          <w:szCs w:val="32"/>
          <w:u w:val="none"/>
          <w:lang w:eastAsia="zh-CN"/>
        </w:rPr>
        <w:t>天津中标检测认证有限公司</w:t>
      </w:r>
      <w:r>
        <w:rPr>
          <w:rFonts w:hint="eastAsia" w:ascii="Times New Roman" w:hAnsi="Times New Roman" w:eastAsia="仿宋_GB2312" w:cs="仿宋_GB2312"/>
          <w:sz w:val="32"/>
          <w:szCs w:val="32"/>
          <w:u w:val="none"/>
        </w:rPr>
        <w:t>检测，</w:t>
      </w:r>
      <w:r>
        <w:rPr>
          <w:rFonts w:hint="eastAsia" w:ascii="Times New Roman" w:hAnsi="Times New Roman" w:eastAsia="仿宋_GB2312" w:cs="仿宋_GB2312"/>
          <w:sz w:val="32"/>
          <w:szCs w:val="32"/>
          <w:u w:val="none"/>
          <w:lang w:eastAsia="zh-CN"/>
        </w:rPr>
        <w:t>车速提示音和反射器、照明和鸣号装置（反射器、照明）</w:t>
      </w:r>
      <w:r>
        <w:rPr>
          <w:rFonts w:hint="eastAsia" w:ascii="Times New Roman" w:hAnsi="Times New Roman" w:eastAsia="仿宋_GB2312" w:cs="仿宋_GB2312"/>
          <w:sz w:val="32"/>
          <w:szCs w:val="32"/>
          <w:u w:val="none"/>
        </w:rPr>
        <w:t>不符合GB17761-2018《电动自行车安全技术规范》标准</w:t>
      </w:r>
      <w:r>
        <w:rPr>
          <w:rFonts w:hint="eastAsia" w:ascii="仿宋_GB2312" w:hAnsi="Mongolian Baiti" w:eastAsia="仿宋_GB2312" w:cs="Mongolian Baiti"/>
          <w:sz w:val="32"/>
          <w:szCs w:val="32"/>
          <w:u w:val="none"/>
        </w:rPr>
        <w:t>。</w:t>
      </w:r>
      <w:r>
        <w:rPr>
          <w:rFonts w:hint="eastAsia" w:ascii="Times New Roman" w:hAnsi="Times New Roman" w:eastAsia="仿宋_GB2312" w:cs="仿宋_GB2312"/>
          <w:sz w:val="32"/>
          <w:szCs w:val="32"/>
          <w:u w:val="none"/>
        </w:rPr>
        <w:t>判定为不合格</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我局执法人员根据该检验报告内容于202</w:t>
      </w: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1</w:t>
      </w:r>
      <w:r>
        <w:rPr>
          <w:rFonts w:hint="eastAsia" w:ascii="Times New Roman" w:hAnsi="Times New Roman" w:eastAsia="仿宋_GB2312" w:cs="仿宋_GB2312"/>
          <w:sz w:val="32"/>
          <w:szCs w:val="32"/>
          <w:u w:val="none"/>
        </w:rPr>
        <w:t>日对当事人进行执法检查，当事人确认该批次抽检不合格产品为当事人生产，并对检验报告结果无异议</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当事人库房未</w:t>
      </w:r>
      <w:r>
        <w:rPr>
          <w:rFonts w:ascii="Times New Roman" w:hAnsi="Times New Roman" w:eastAsia="仿宋_GB2312" w:cs="仿宋_GB2312"/>
          <w:sz w:val="32"/>
          <w:szCs w:val="32"/>
          <w:u w:val="none"/>
        </w:rPr>
        <w:t>发现该批次不合格</w:t>
      </w:r>
      <w:r>
        <w:rPr>
          <w:rFonts w:hint="eastAsia" w:ascii="Times New Roman" w:hAnsi="Times New Roman" w:eastAsia="仿宋_GB2312" w:cs="仿宋_GB2312"/>
          <w:sz w:val="32"/>
          <w:szCs w:val="32"/>
          <w:u w:val="none"/>
          <w:lang w:eastAsia="zh-CN"/>
        </w:rPr>
        <w:t>产品</w:t>
      </w:r>
      <w:r>
        <w:rPr>
          <w:rFonts w:ascii="Times New Roman" w:hAnsi="Times New Roman" w:eastAsia="仿宋_GB2312" w:cs="仿宋_GB2312"/>
          <w:sz w:val="32"/>
          <w:szCs w:val="32"/>
          <w:u w:val="none"/>
        </w:rPr>
        <w:t>的存放，未采取行政强制措施。</w:t>
      </w:r>
      <w:r>
        <w:rPr>
          <w:rFonts w:hint="eastAsia" w:ascii="Times New Roman" w:hAnsi="Times New Roman" w:eastAsia="仿宋_GB2312" w:cs="仿宋_GB2312"/>
          <w:sz w:val="32"/>
          <w:szCs w:val="32"/>
          <w:u w:val="none"/>
        </w:rPr>
        <w:t>当事人因涉嫌生产</w:t>
      </w:r>
      <w:r>
        <w:rPr>
          <w:rFonts w:hint="eastAsia" w:ascii="Times New Roman" w:hAnsi="Times New Roman" w:eastAsia="仿宋_GB2312" w:cs="仿宋_GB2312"/>
          <w:sz w:val="32"/>
          <w:szCs w:val="32"/>
          <w:u w:val="none"/>
          <w:lang w:eastAsia="zh-CN"/>
        </w:rPr>
        <w:t>销售</w:t>
      </w:r>
      <w:r>
        <w:rPr>
          <w:rFonts w:hint="eastAsia" w:ascii="Times New Roman" w:hAnsi="Times New Roman" w:eastAsia="仿宋_GB2312" w:cs="仿宋_GB2312"/>
          <w:sz w:val="32"/>
          <w:szCs w:val="32"/>
          <w:u w:val="none"/>
        </w:rPr>
        <w:t>不符合保障人体健康和人身财产安全的国家标准的电动自行车行为，</w:t>
      </w:r>
      <w:r>
        <w:rPr>
          <w:rFonts w:hint="default" w:ascii="Times New Roman" w:hAnsi="Times New Roman" w:eastAsia="仿宋_GB2312" w:cs="仿宋_GB2312"/>
          <w:sz w:val="32"/>
          <w:szCs w:val="32"/>
          <w:u w:val="none"/>
          <w:lang w:val="en"/>
        </w:rPr>
        <w:t>2022年</w:t>
      </w:r>
      <w:r>
        <w:rPr>
          <w:rFonts w:hint="eastAsia" w:ascii="Times New Roman" w:hAnsi="Times New Roman" w:eastAsia="仿宋_GB2312" w:cs="仿宋_GB2312"/>
          <w:sz w:val="32"/>
          <w:szCs w:val="32"/>
          <w:u w:val="none"/>
          <w:lang w:val="en-US" w:eastAsia="zh-CN"/>
        </w:rPr>
        <w:t>9</w:t>
      </w:r>
      <w:r>
        <w:rPr>
          <w:rFonts w:hint="default" w:ascii="Times New Roman" w:hAnsi="Times New Roman" w:eastAsia="仿宋_GB2312" w:cs="仿宋_GB2312"/>
          <w:sz w:val="32"/>
          <w:szCs w:val="32"/>
          <w:u w:val="none"/>
          <w:lang w:val="en"/>
        </w:rPr>
        <w:t>月</w:t>
      </w:r>
      <w:r>
        <w:rPr>
          <w:rFonts w:hint="eastAsia" w:ascii="Times New Roman" w:hAnsi="Times New Roman" w:eastAsia="仿宋_GB2312" w:cs="仿宋_GB2312"/>
          <w:sz w:val="32"/>
          <w:szCs w:val="32"/>
          <w:u w:val="none"/>
          <w:lang w:val="en-US" w:eastAsia="zh-CN"/>
        </w:rPr>
        <w:t>1</w:t>
      </w:r>
      <w:r>
        <w:rPr>
          <w:rFonts w:hint="default" w:ascii="Times New Roman" w:hAnsi="Times New Roman" w:eastAsia="仿宋_GB2312" w:cs="仿宋_GB2312"/>
          <w:sz w:val="32"/>
          <w:szCs w:val="32"/>
          <w:u w:val="none"/>
          <w:lang w:val="en"/>
        </w:rPr>
        <w:t>日</w:t>
      </w:r>
      <w:r>
        <w:rPr>
          <w:rFonts w:ascii="Times New Roman" w:hAnsi="Times New Roman" w:eastAsia="仿宋_GB2312" w:cs="仿宋_GB2312"/>
          <w:sz w:val="32"/>
          <w:szCs w:val="32"/>
          <w:u w:val="none"/>
        </w:rPr>
        <w:t>经批准予以立案</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 xml:space="preserve"> </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4" w:lineRule="auto"/>
        <w:ind w:firstLine="66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eastAsia="zh-CN"/>
        </w:rPr>
        <w:t>经查，当事人于</w:t>
      </w:r>
      <w:r>
        <w:rPr>
          <w:rFonts w:hint="eastAsia" w:ascii="Times New Roman" w:hAnsi="Times New Roman" w:eastAsia="仿宋_GB2312" w:cs="仿宋_GB2312"/>
          <w:sz w:val="32"/>
          <w:szCs w:val="32"/>
          <w:u w:val="none"/>
        </w:rPr>
        <w:t>202</w:t>
      </w: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4</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30</w:t>
      </w:r>
      <w:r>
        <w:rPr>
          <w:rFonts w:hint="eastAsia" w:ascii="Times New Roman" w:hAnsi="Times New Roman" w:eastAsia="仿宋_GB2312" w:cs="仿宋_GB2312"/>
          <w:sz w:val="32"/>
          <w:szCs w:val="32"/>
          <w:u w:val="none"/>
        </w:rPr>
        <w:t>日</w:t>
      </w:r>
      <w:r>
        <w:rPr>
          <w:rFonts w:hint="eastAsia" w:ascii="Times New Roman" w:hAnsi="Times New Roman" w:eastAsia="仿宋_GB2312" w:cs="仿宋_GB2312"/>
          <w:sz w:val="32"/>
          <w:szCs w:val="32"/>
          <w:u w:val="none"/>
          <w:lang w:eastAsia="zh-CN"/>
        </w:rPr>
        <w:t>生产</w:t>
      </w:r>
      <w:r>
        <w:rPr>
          <w:rFonts w:hint="eastAsia" w:ascii="Times New Roman" w:hAnsi="Times New Roman" w:eastAsia="仿宋_GB2312" w:cs="仿宋_GB2312"/>
          <w:sz w:val="32"/>
          <w:szCs w:val="32"/>
          <w:u w:val="none"/>
        </w:rPr>
        <w:t>、商标为</w:t>
      </w:r>
      <w:r>
        <w:rPr>
          <w:rFonts w:hint="eastAsia" w:ascii="Times New Roman" w:hAnsi="Times New Roman" w:eastAsia="仿宋_GB2312" w:cs="仿宋_GB2312"/>
          <w:sz w:val="32"/>
          <w:szCs w:val="32"/>
          <w:u w:val="none"/>
          <w:lang w:eastAsia="zh-CN"/>
        </w:rPr>
        <w:t>森地</w:t>
      </w:r>
      <w:r>
        <w:rPr>
          <w:rFonts w:hint="eastAsia" w:ascii="Times New Roman" w:hAnsi="Times New Roman" w:eastAsia="仿宋_GB2312" w:cs="仿宋_GB2312"/>
          <w:sz w:val="32"/>
          <w:szCs w:val="32"/>
          <w:u w:val="none"/>
        </w:rPr>
        <w:t>、规格型号为</w:t>
      </w:r>
      <w:r>
        <w:rPr>
          <w:rFonts w:hint="default" w:ascii="Times New Roman" w:hAnsi="Times New Roman" w:eastAsia="仿宋_GB2312" w:cs="仿宋_GB2312"/>
          <w:sz w:val="32"/>
          <w:szCs w:val="32"/>
          <w:u w:val="none"/>
          <w:lang w:val="en"/>
        </w:rPr>
        <w:t>TDT008Z</w:t>
      </w:r>
      <w:r>
        <w:rPr>
          <w:rFonts w:hint="eastAsia" w:ascii="Times New Roman" w:hAnsi="Times New Roman" w:eastAsia="仿宋_GB2312" w:cs="仿宋_GB2312"/>
          <w:sz w:val="32"/>
          <w:szCs w:val="32"/>
          <w:u w:val="none"/>
        </w:rPr>
        <w:t>的电动自行车，经</w:t>
      </w:r>
      <w:r>
        <w:rPr>
          <w:rFonts w:hint="eastAsia" w:ascii="Times New Roman" w:hAnsi="Times New Roman" w:eastAsia="仿宋_GB2312" w:cs="仿宋_GB2312"/>
          <w:sz w:val="32"/>
          <w:szCs w:val="32"/>
          <w:u w:val="none"/>
          <w:lang w:eastAsia="zh-CN"/>
        </w:rPr>
        <w:t>天津中标检测认证有限公司</w:t>
      </w:r>
      <w:r>
        <w:rPr>
          <w:rFonts w:hint="eastAsia" w:ascii="Times New Roman" w:hAnsi="Times New Roman" w:eastAsia="仿宋_GB2312" w:cs="仿宋_GB2312"/>
          <w:sz w:val="32"/>
          <w:szCs w:val="32"/>
          <w:u w:val="none"/>
        </w:rPr>
        <w:t>检测，</w:t>
      </w:r>
      <w:r>
        <w:rPr>
          <w:rFonts w:hint="eastAsia" w:ascii="Times New Roman" w:hAnsi="Times New Roman" w:eastAsia="仿宋_GB2312" w:cs="仿宋_GB2312"/>
          <w:sz w:val="32"/>
          <w:szCs w:val="32"/>
          <w:u w:val="none"/>
          <w:lang w:eastAsia="zh-CN"/>
        </w:rPr>
        <w:t>车速提示音和反射器、照明和鸣号装置（反射器、照明）</w:t>
      </w:r>
      <w:r>
        <w:rPr>
          <w:rFonts w:hint="eastAsia" w:ascii="Times New Roman" w:hAnsi="Times New Roman" w:eastAsia="仿宋_GB2312" w:cs="仿宋_GB2312"/>
          <w:sz w:val="32"/>
          <w:szCs w:val="32"/>
          <w:u w:val="none"/>
        </w:rPr>
        <w:t>不符合GB17761-2018《电动自行车安全技术规范》标准</w:t>
      </w:r>
      <w:r>
        <w:rPr>
          <w:rFonts w:hint="eastAsia" w:ascii="仿宋_GB2312" w:hAnsi="Mongolian Baiti" w:eastAsia="仿宋_GB2312" w:cs="Mongolian Baiti"/>
          <w:sz w:val="32"/>
          <w:szCs w:val="32"/>
          <w:u w:val="none"/>
        </w:rPr>
        <w:t>。</w:t>
      </w:r>
      <w:r>
        <w:rPr>
          <w:rFonts w:hint="eastAsia" w:ascii="Times New Roman" w:hAnsi="Times New Roman" w:eastAsia="仿宋_GB2312" w:cs="仿宋_GB2312"/>
          <w:sz w:val="32"/>
          <w:szCs w:val="32"/>
          <w:u w:val="none"/>
        </w:rPr>
        <w:t>判定为不合格。当事人对上述检验结果无异议，在复检期内</w:t>
      </w:r>
      <w:r>
        <w:rPr>
          <w:rFonts w:hint="eastAsia" w:ascii="Times New Roman" w:hAnsi="Times New Roman" w:eastAsia="仿宋_GB2312" w:cs="仿宋_GB2312"/>
          <w:sz w:val="32"/>
          <w:szCs w:val="32"/>
          <w:u w:val="none"/>
          <w:lang w:eastAsia="zh-CN"/>
        </w:rPr>
        <w:t>未提出复检申请</w:t>
      </w:r>
      <w:r>
        <w:rPr>
          <w:rFonts w:hint="eastAsia" w:ascii="Times New Roman" w:hAnsi="Times New Roman" w:eastAsia="仿宋_GB2312" w:cs="仿宋_GB2312"/>
          <w:sz w:val="32"/>
          <w:szCs w:val="32"/>
          <w:u w:val="none"/>
        </w:rPr>
        <w:t>。上述行为满足生产</w:t>
      </w:r>
      <w:r>
        <w:rPr>
          <w:rFonts w:hint="eastAsia" w:ascii="Times New Roman" w:hAnsi="Times New Roman" w:eastAsia="仿宋_GB2312" w:cs="仿宋_GB2312"/>
          <w:sz w:val="32"/>
          <w:szCs w:val="32"/>
          <w:u w:val="none"/>
          <w:lang w:val="en-US" w:eastAsia="zh-CN"/>
        </w:rPr>
        <w:t>销售</w:t>
      </w:r>
      <w:r>
        <w:rPr>
          <w:rFonts w:hint="eastAsia" w:ascii="Times New Roman" w:hAnsi="Times New Roman" w:eastAsia="仿宋_GB2312" w:cs="仿宋_GB2312"/>
          <w:sz w:val="32"/>
          <w:szCs w:val="32"/>
          <w:u w:val="none"/>
        </w:rPr>
        <w:t>不符合保障人体健康和人身财产安全的国家标准的电动自行车行为的构成要件。当事人</w:t>
      </w:r>
      <w:r>
        <w:rPr>
          <w:rFonts w:hint="eastAsia" w:ascii="Times New Roman" w:hAnsi="Times New Roman" w:eastAsia="仿宋_GB2312" w:cs="仿宋_GB2312"/>
          <w:sz w:val="32"/>
          <w:szCs w:val="32"/>
          <w:u w:val="none"/>
          <w:lang w:eastAsia="zh-CN"/>
        </w:rPr>
        <w:t>共</w:t>
      </w:r>
      <w:r>
        <w:rPr>
          <w:rFonts w:hint="eastAsia" w:ascii="Times New Roman" w:hAnsi="Times New Roman" w:eastAsia="仿宋_GB2312" w:cs="仿宋_GB2312"/>
          <w:sz w:val="32"/>
          <w:szCs w:val="32"/>
          <w:u w:val="none"/>
        </w:rPr>
        <w:t>生产上述</w:t>
      </w:r>
      <w:r>
        <w:rPr>
          <w:rFonts w:hint="eastAsia" w:ascii="Times New Roman" w:hAnsi="Times New Roman" w:eastAsia="仿宋_GB2312" w:cs="仿宋_GB2312"/>
          <w:sz w:val="32"/>
          <w:szCs w:val="32"/>
          <w:u w:val="none"/>
          <w:lang w:eastAsia="zh-CN"/>
        </w:rPr>
        <w:t>规格</w:t>
      </w:r>
      <w:r>
        <w:rPr>
          <w:rFonts w:hint="eastAsia" w:ascii="Times New Roman" w:hAnsi="Times New Roman" w:eastAsia="仿宋_GB2312" w:cs="仿宋_GB2312"/>
          <w:sz w:val="32"/>
          <w:szCs w:val="32"/>
          <w:u w:val="none"/>
        </w:rPr>
        <w:t>型号电动自行车</w:t>
      </w:r>
      <w:r>
        <w:rPr>
          <w:rFonts w:hint="eastAsia" w:ascii="Times New Roman" w:hAnsi="Times New Roman" w:eastAsia="仿宋_GB2312" w:cs="仿宋_GB2312"/>
          <w:sz w:val="32"/>
          <w:szCs w:val="32"/>
          <w:u w:val="none"/>
          <w:lang w:val="en-US" w:eastAsia="zh-CN"/>
        </w:rPr>
        <w:t>10</w:t>
      </w:r>
      <w:r>
        <w:rPr>
          <w:rFonts w:hint="default" w:ascii="Times New Roman" w:hAnsi="Times New Roman" w:eastAsia="仿宋_GB2312" w:cs="仿宋_GB2312"/>
          <w:sz w:val="32"/>
          <w:szCs w:val="32"/>
          <w:u w:val="none"/>
          <w:lang w:val="en" w:eastAsia="zh-CN"/>
        </w:rPr>
        <w:t>辆</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2辆被抽检，8辆待销售</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本案货值金额</w:t>
      </w:r>
      <w:r>
        <w:rPr>
          <w:rFonts w:hint="eastAsia" w:ascii="Times New Roman" w:hAnsi="Times New Roman" w:eastAsia="仿宋_GB2312" w:cs="仿宋_GB2312"/>
          <w:sz w:val="32"/>
          <w:szCs w:val="32"/>
          <w:u w:val="none"/>
          <w:lang w:val="en-US" w:eastAsia="zh-CN"/>
        </w:rPr>
        <w:t>5250</w:t>
      </w:r>
      <w:r>
        <w:rPr>
          <w:rFonts w:hint="eastAsia" w:ascii="Times New Roman" w:hAnsi="Times New Roman" w:eastAsia="仿宋_GB2312" w:cs="仿宋_GB2312"/>
          <w:sz w:val="32"/>
          <w:szCs w:val="32"/>
          <w:u w:val="none"/>
        </w:rPr>
        <w:t>元，</w:t>
      </w:r>
      <w:r>
        <w:rPr>
          <w:rFonts w:ascii="Times New Roman" w:hAnsi="Times New Roman" w:eastAsia="仿宋_GB2312" w:cs="仿宋_GB2312"/>
          <w:sz w:val="32"/>
          <w:szCs w:val="32"/>
          <w:u w:val="none"/>
        </w:rPr>
        <w:t>违法所得</w:t>
      </w:r>
      <w:r>
        <w:rPr>
          <w:rFonts w:hint="eastAsia" w:ascii="Times New Roman" w:hAnsi="Times New Roman" w:eastAsia="仿宋_GB2312" w:cs="仿宋_GB2312"/>
          <w:sz w:val="32"/>
          <w:szCs w:val="32"/>
          <w:u w:val="none"/>
          <w:lang w:val="en-US" w:eastAsia="zh-CN"/>
        </w:rPr>
        <w:t>280.8元</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04" w:lineRule="auto"/>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rPr>
        <w:t>当事人的营业执照复印件、法定代表人身份证复印件</w:t>
      </w:r>
      <w:r>
        <w:rPr>
          <w:rFonts w:hint="eastAsia" w:ascii="Times New Roman" w:hAnsi="Times New Roman" w:eastAsia="仿宋_GB2312" w:cs="仿宋_GB2312"/>
          <w:sz w:val="32"/>
          <w:szCs w:val="32"/>
          <w:u w:val="none"/>
          <w:lang w:eastAsia="zh-CN"/>
        </w:rPr>
        <w:t>、委托人身份证复印件、委托书</w:t>
      </w:r>
      <w:r>
        <w:rPr>
          <w:rFonts w:hint="eastAsia" w:ascii="Times New Roman" w:hAnsi="Times New Roman" w:eastAsia="仿宋_GB2312" w:cs="仿宋_GB2312"/>
          <w:sz w:val="32"/>
          <w:szCs w:val="32"/>
          <w:u w:val="none"/>
        </w:rPr>
        <w:t>，证明</w:t>
      </w:r>
      <w:r>
        <w:rPr>
          <w:rFonts w:hint="eastAsia" w:ascii="Times New Roman" w:hAnsi="Times New Roman" w:eastAsia="仿宋_GB2312" w:cs="仿宋_GB2312"/>
          <w:sz w:val="32"/>
          <w:szCs w:val="32"/>
          <w:u w:val="none"/>
        </w:rPr>
        <w:t xml:space="preserve">当事人的主体资格；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eastAsia="zh-CN"/>
        </w:rPr>
        <w:t>202</w:t>
      </w: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lang w:eastAsia="zh-CN"/>
        </w:rPr>
        <w:t>年</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lang w:eastAsia="zh-CN"/>
        </w:rPr>
        <w:t>月</w:t>
      </w:r>
      <w:r>
        <w:rPr>
          <w:rFonts w:hint="eastAsia" w:ascii="Times New Roman" w:hAnsi="Times New Roman" w:eastAsia="仿宋_GB2312" w:cs="仿宋_GB2312"/>
          <w:sz w:val="32"/>
          <w:szCs w:val="32"/>
          <w:u w:val="none"/>
          <w:lang w:val="en-US" w:eastAsia="zh-CN"/>
        </w:rPr>
        <w:t>1</w:t>
      </w:r>
      <w:r>
        <w:rPr>
          <w:rFonts w:hint="eastAsia" w:ascii="Times New Roman" w:hAnsi="Times New Roman" w:eastAsia="仿宋_GB2312" w:cs="仿宋_GB2312"/>
          <w:sz w:val="32"/>
          <w:szCs w:val="32"/>
          <w:u w:val="none"/>
          <w:lang w:eastAsia="zh-CN"/>
        </w:rPr>
        <w:t>日</w:t>
      </w:r>
      <w:r>
        <w:rPr>
          <w:rFonts w:hint="eastAsia" w:ascii="Times New Roman" w:hAnsi="Times New Roman" w:eastAsia="仿宋_GB2312" w:cs="仿宋_GB2312"/>
          <w:sz w:val="32"/>
          <w:szCs w:val="32"/>
          <w:u w:val="none"/>
        </w:rPr>
        <w:t>的现场笔录、现场照片</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证明</w:t>
      </w:r>
      <w:r>
        <w:rPr>
          <w:rFonts w:hint="eastAsia" w:ascii="Times New Roman" w:hAnsi="Times New Roman" w:eastAsia="仿宋_GB2312" w:cs="仿宋_GB2312"/>
          <w:sz w:val="32"/>
          <w:szCs w:val="32"/>
          <w:u w:val="none"/>
        </w:rPr>
        <w:t>现场生产车间未发现上述规格型号的电动自行车的生产行为</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成品库房已无该批次不合格产品的库存</w:t>
      </w:r>
      <w:r>
        <w:rPr>
          <w:rFonts w:hint="eastAsia" w:ascii="Times New Roman" w:hAnsi="Times New Roman" w:eastAsia="仿宋_GB2312" w:cs="仿宋_GB2312"/>
          <w:sz w:val="32"/>
          <w:szCs w:val="32"/>
          <w:u w:val="none"/>
          <w:lang w:eastAsia="zh-CN"/>
        </w:rPr>
        <w:t>的</w:t>
      </w:r>
      <w:r>
        <w:rPr>
          <w:rFonts w:hint="eastAsia" w:ascii="Times New Roman" w:hAnsi="Times New Roman" w:eastAsia="仿宋_GB2312" w:cs="仿宋_GB2312"/>
          <w:sz w:val="32"/>
          <w:szCs w:val="32"/>
          <w:u w:val="none"/>
        </w:rPr>
        <w:t>现场情况；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仿宋_GB2312"/>
          <w:sz w:val="32"/>
          <w:szCs w:val="32"/>
          <w:u w:val="none"/>
        </w:rPr>
      </w:pPr>
      <w:r>
        <w:rPr>
          <w:rFonts w:hint="eastAsia" w:ascii="Times New Roman" w:hAnsi="Times New Roman" w:eastAsia="仿宋_GB2312" w:cs="仿宋_GB2312"/>
          <w:color w:val="auto"/>
          <w:sz w:val="32"/>
          <w:szCs w:val="32"/>
          <w:u w:val="none"/>
        </w:rPr>
        <w:t>3.</w:t>
      </w:r>
      <w:r>
        <w:rPr>
          <w:rFonts w:hint="eastAsia"/>
          <w:color w:val="auto"/>
          <w:u w:val="none"/>
        </w:rPr>
        <w:t xml:space="preserve"> </w:t>
      </w:r>
      <w:r>
        <w:rPr>
          <w:rFonts w:hint="eastAsia" w:ascii="Times New Roman" w:hAnsi="Times New Roman" w:eastAsia="仿宋_GB2312" w:cs="仿宋_GB2312"/>
          <w:sz w:val="32"/>
          <w:szCs w:val="32"/>
          <w:u w:val="none"/>
        </w:rPr>
        <w:t>产品生产执行标准GB 17761-2018《电动自行车通用技术条件》文本的首页、标准适用范围、标准前言、标准关键项目指标要求打印件</w:t>
      </w:r>
      <w:r>
        <w:rPr>
          <w:rFonts w:hint="eastAsia" w:ascii="Times New Roman" w:hAnsi="Times New Roman" w:eastAsia="仿宋_GB2312" w:cs="仿宋_GB2312"/>
          <w:sz w:val="32"/>
          <w:szCs w:val="32"/>
          <w:u w:val="none"/>
        </w:rPr>
        <w:t>，证明</w:t>
      </w:r>
      <w:r>
        <w:rPr>
          <w:rFonts w:hint="eastAsia" w:ascii="Times New Roman" w:hAnsi="Times New Roman" w:eastAsia="仿宋_GB2312" w:cs="仿宋_GB2312"/>
          <w:sz w:val="32"/>
          <w:szCs w:val="32"/>
          <w:u w:val="none"/>
        </w:rPr>
        <w:t xml:space="preserve">当事人涉案产品适用的判定依据是国家颁布的现行有效的标准, 所查产品与标准调整的产品范围一致且当事人涉案产品执行标准关键项目指标要求涉及到人体健康和人身财产安全；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仿宋_GB2312"/>
          <w:sz w:val="32"/>
          <w:szCs w:val="32"/>
          <w:u w:val="none"/>
        </w:rPr>
      </w:pPr>
      <w:r>
        <w:rPr>
          <w:rFonts w:ascii="Times New Roman" w:hAnsi="Times New Roman" w:eastAsia="仿宋_GB2312" w:cs="仿宋_GB2312"/>
          <w:color w:val="auto"/>
          <w:sz w:val="32"/>
          <w:szCs w:val="32"/>
          <w:u w:val="none"/>
        </w:rPr>
        <w:t>4</w:t>
      </w:r>
      <w:r>
        <w:rPr>
          <w:rFonts w:hint="eastAsia" w:ascii="Times New Roman" w:hAnsi="Times New Roman" w:eastAsia="仿宋_GB2312" w:cs="仿宋_GB2312"/>
          <w:color w:val="auto"/>
          <w:sz w:val="32"/>
          <w:szCs w:val="32"/>
          <w:u w:val="none"/>
        </w:rPr>
        <w:t>.</w:t>
      </w:r>
      <w:r>
        <w:rPr>
          <w:rFonts w:hint="eastAsia" w:ascii="Times New Roman" w:hAnsi="Times New Roman" w:eastAsia="仿宋_GB2312" w:cs="仿宋_GB2312"/>
          <w:sz w:val="32"/>
          <w:szCs w:val="32"/>
          <w:u w:val="none"/>
        </w:rPr>
        <w:t>《检验报告》（报告编号：No:</w:t>
      </w:r>
      <w:r>
        <w:rPr>
          <w:rFonts w:hint="eastAsia" w:ascii="Times New Roman" w:hAnsi="Times New Roman" w:eastAsia="仿宋_GB2312" w:cs="仿宋_GB2312"/>
          <w:sz w:val="32"/>
          <w:szCs w:val="32"/>
          <w:u w:val="none"/>
          <w:lang w:val="en-US" w:eastAsia="zh-CN"/>
        </w:rPr>
        <w:t>ZB-2022-DC011</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eastAsia="zh-CN"/>
        </w:rPr>
        <w:t>以及产品质量监督抽查结果通知书（编号：</w:t>
      </w:r>
      <w:r>
        <w:rPr>
          <w:rFonts w:hint="eastAsia" w:ascii="Times New Roman" w:hAnsi="Times New Roman" w:eastAsia="仿宋_GB2312" w:cs="仿宋_GB2312"/>
          <w:sz w:val="32"/>
          <w:szCs w:val="32"/>
          <w:u w:val="none"/>
          <w:lang w:val="en-US" w:eastAsia="zh-CN"/>
        </w:rPr>
        <w:t>JD2022-DDC-005</w:t>
      </w:r>
      <w:r>
        <w:rPr>
          <w:rFonts w:hint="eastAsia" w:ascii="Times New Roman" w:hAnsi="Times New Roman" w:eastAsia="仿宋_GB2312" w:cs="仿宋_GB2312"/>
          <w:sz w:val="32"/>
          <w:szCs w:val="32"/>
          <w:u w:val="none"/>
          <w:lang w:eastAsia="zh-CN"/>
        </w:rPr>
        <w:t>），</w:t>
      </w:r>
      <w:r>
        <w:rPr>
          <w:rFonts w:hint="eastAsia"/>
          <w:color w:val="auto"/>
          <w:u w:val="none"/>
        </w:rPr>
        <w:t xml:space="preserve"> </w:t>
      </w:r>
      <w:r>
        <w:rPr>
          <w:rFonts w:hint="eastAsia" w:ascii="Times New Roman" w:hAnsi="Times New Roman" w:eastAsia="仿宋_GB2312" w:cs="仿宋_GB2312"/>
          <w:color w:val="auto"/>
          <w:sz w:val="32"/>
          <w:szCs w:val="32"/>
          <w:u w:val="none"/>
        </w:rPr>
        <w:t>对</w:t>
      </w:r>
      <w:r>
        <w:rPr>
          <w:rFonts w:hint="eastAsia" w:ascii="Times New Roman" w:hAnsi="Times New Roman" w:eastAsia="仿宋_GB2312" w:cs="仿宋_GB2312"/>
          <w:color w:val="auto"/>
          <w:sz w:val="32"/>
          <w:szCs w:val="32"/>
          <w:u w:val="none"/>
          <w:lang w:eastAsia="zh-CN"/>
        </w:rPr>
        <w:t>委托人</w:t>
      </w:r>
      <w:r>
        <w:rPr>
          <w:rFonts w:hint="default" w:ascii="Times New Roman" w:hAnsi="Times New Roman" w:eastAsia="仿宋_GB2312" w:cs="仿宋_GB2312"/>
          <w:color w:val="auto"/>
          <w:sz w:val="32"/>
          <w:szCs w:val="32"/>
          <w:u w:val="none"/>
          <w:lang w:val="en" w:eastAsia="zh-CN"/>
        </w:rPr>
        <w:t>李金刚</w:t>
      </w:r>
      <w:r>
        <w:rPr>
          <w:rFonts w:hint="eastAsia" w:ascii="Times New Roman" w:hAnsi="Times New Roman" w:eastAsia="仿宋_GB2312" w:cs="仿宋_GB2312"/>
          <w:color w:val="auto"/>
          <w:sz w:val="32"/>
          <w:szCs w:val="32"/>
          <w:u w:val="none"/>
        </w:rPr>
        <w:t>的询问笔录</w:t>
      </w:r>
      <w:r>
        <w:rPr>
          <w:rFonts w:hint="eastAsia" w:ascii="Times New Roman" w:hAnsi="Times New Roman" w:eastAsia="仿宋_GB2312" w:cs="仿宋_GB2312"/>
          <w:sz w:val="32"/>
          <w:szCs w:val="32"/>
          <w:u w:val="none"/>
        </w:rPr>
        <w:t>，证明</w:t>
      </w:r>
      <w:r>
        <w:rPr>
          <w:rFonts w:hint="eastAsia" w:ascii="Times New Roman" w:hAnsi="Times New Roman" w:eastAsia="仿宋_GB2312" w:cs="仿宋_GB2312"/>
          <w:sz w:val="32"/>
          <w:szCs w:val="32"/>
          <w:u w:val="none"/>
        </w:rPr>
        <w:t>当事人生产</w:t>
      </w:r>
      <w:r>
        <w:rPr>
          <w:rFonts w:hint="eastAsia" w:ascii="Times New Roman" w:hAnsi="Times New Roman" w:eastAsia="仿宋_GB2312" w:cs="仿宋_GB2312"/>
          <w:sz w:val="32"/>
          <w:szCs w:val="32"/>
          <w:u w:val="none"/>
          <w:lang w:val="en-US" w:eastAsia="zh-CN"/>
        </w:rPr>
        <w:t>销售</w:t>
      </w:r>
      <w:r>
        <w:rPr>
          <w:rFonts w:hint="eastAsia" w:ascii="Times New Roman" w:hAnsi="Times New Roman" w:eastAsia="仿宋_GB2312" w:cs="仿宋_GB2312"/>
          <w:sz w:val="32"/>
          <w:szCs w:val="32"/>
          <w:u w:val="none"/>
        </w:rPr>
        <w:t>不符合保障人体健康和人身财产安全的国家标准的</w:t>
      </w:r>
      <w:r>
        <w:rPr>
          <w:rFonts w:hint="eastAsia" w:ascii="Times New Roman" w:hAnsi="Times New Roman" w:eastAsia="仿宋_GB2312" w:cs="仿宋_GB2312"/>
          <w:sz w:val="32"/>
          <w:szCs w:val="32"/>
          <w:u w:val="none"/>
          <w:lang w:val="en-US" w:eastAsia="zh-CN"/>
        </w:rPr>
        <w:t>电动自行车</w:t>
      </w:r>
      <w:r>
        <w:rPr>
          <w:rFonts w:hint="eastAsia" w:ascii="Times New Roman" w:hAnsi="Times New Roman" w:eastAsia="仿宋_GB2312" w:cs="仿宋_GB2312"/>
          <w:sz w:val="32"/>
          <w:szCs w:val="32"/>
          <w:u w:val="none"/>
        </w:rPr>
        <w:t xml:space="preserve">的事实情节；   </w:t>
      </w:r>
      <w:r>
        <w:rPr>
          <w:rFonts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lang w:val="en-US" w:eastAsia="zh-CN"/>
        </w:rPr>
        <w:t xml:space="preserve">         </w:t>
      </w:r>
      <w:r>
        <w:rPr>
          <w:rFonts w:ascii="Times New Roman" w:hAnsi="Times New Roman"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u w:val="none"/>
        </w:rPr>
      </w:pPr>
      <w:r>
        <w:rPr>
          <w:rFonts w:ascii="Times New Roman" w:hAnsi="Times New Roman" w:eastAsia="仿宋_GB2312" w:cs="仿宋_GB2312"/>
          <w:sz w:val="32"/>
          <w:szCs w:val="32"/>
          <w:u w:val="none"/>
        </w:rPr>
        <w:t>5</w:t>
      </w:r>
      <w:r>
        <w:rPr>
          <w:rFonts w:hint="eastAsia" w:ascii="Times New Roman" w:hAnsi="Times New Roman" w:eastAsia="仿宋_GB2312" w:cs="仿宋_GB2312"/>
          <w:sz w:val="32"/>
          <w:szCs w:val="32"/>
          <w:u w:val="none"/>
        </w:rPr>
        <w:t>．</w:t>
      </w:r>
      <w:r>
        <w:rPr>
          <w:rFonts w:hint="eastAsia" w:ascii="Times New Roman" w:hAnsi="Times New Roman" w:eastAsia="仿宋_GB2312" w:cs="仿宋"/>
          <w:color w:val="auto"/>
          <w:sz w:val="32"/>
          <w:szCs w:val="32"/>
          <w:u w:val="none"/>
        </w:rPr>
        <w:t>生产</w:t>
      </w:r>
      <w:r>
        <w:rPr>
          <w:rFonts w:hint="eastAsia" w:ascii="Times New Roman" w:hAnsi="Times New Roman" w:eastAsia="仿宋_GB2312" w:cs="仿宋"/>
          <w:color w:val="auto"/>
          <w:sz w:val="32"/>
          <w:szCs w:val="32"/>
          <w:u w:val="none"/>
          <w:lang w:val="en-US" w:eastAsia="zh-CN"/>
        </w:rPr>
        <w:t>记录</w:t>
      </w:r>
      <w:r>
        <w:rPr>
          <w:rFonts w:hint="eastAsia" w:ascii="Times New Roman" w:hAnsi="Times New Roman" w:eastAsia="仿宋_GB2312" w:cs="仿宋"/>
          <w:color w:val="auto"/>
          <w:sz w:val="32"/>
          <w:szCs w:val="32"/>
          <w:u w:val="none"/>
          <w:lang w:eastAsia="zh-CN"/>
        </w:rPr>
        <w:t>（附销售信息）、成本核算单</w:t>
      </w:r>
      <w:r>
        <w:rPr>
          <w:rFonts w:hint="eastAsia" w:ascii="Times New Roman" w:hAnsi="Times New Roman" w:eastAsia="仿宋_GB2312" w:cs="仿宋_GB2312"/>
          <w:color w:val="auto"/>
          <w:sz w:val="32"/>
          <w:szCs w:val="32"/>
          <w:u w:val="none"/>
          <w:lang w:val="en-US" w:eastAsia="zh-CN"/>
        </w:rPr>
        <w:t>、货值金额计算表</w:t>
      </w:r>
      <w:r>
        <w:rPr>
          <w:rFonts w:hint="eastAsia" w:ascii="Times New Roman" w:hAnsi="Times New Roman" w:eastAsia="仿宋_GB2312" w:cs="仿宋_GB2312"/>
          <w:color w:val="auto"/>
          <w:sz w:val="32"/>
          <w:szCs w:val="32"/>
          <w:u w:val="none"/>
          <w:lang w:val="en-US" w:eastAsia="zh-CN"/>
        </w:rPr>
        <w:t>，</w:t>
      </w:r>
      <w:r>
        <w:rPr>
          <w:rFonts w:hint="eastAsia" w:ascii="Times New Roman" w:hAnsi="Times New Roman" w:eastAsia="仿宋_GB2312" w:cs="仿宋_GB2312"/>
          <w:strike w:val="0"/>
          <w:dstrike w:val="0"/>
          <w:sz w:val="32"/>
          <w:szCs w:val="32"/>
          <w:u w:val="none"/>
        </w:rPr>
        <w:t>证明</w:t>
      </w:r>
      <w:r>
        <w:rPr>
          <w:rFonts w:hint="eastAsia" w:ascii="Times New Roman" w:hAnsi="Times New Roman" w:eastAsia="仿宋_GB2312" w:cs="仿宋_GB2312"/>
          <w:sz w:val="32"/>
          <w:szCs w:val="32"/>
          <w:u w:val="none"/>
        </w:rPr>
        <w:t>本案货值金额</w:t>
      </w:r>
      <w:r>
        <w:rPr>
          <w:rFonts w:hint="eastAsia" w:ascii="Times New Roman" w:hAnsi="Times New Roman" w:eastAsia="仿宋_GB2312" w:cs="仿宋_GB2312"/>
          <w:sz w:val="32"/>
          <w:szCs w:val="32"/>
          <w:u w:val="none"/>
          <w:lang w:val="en-US" w:eastAsia="zh-CN"/>
        </w:rPr>
        <w:t>及违法所得</w:t>
      </w:r>
      <w:r>
        <w:rPr>
          <w:rFonts w:hint="eastAsia" w:ascii="Times New Roman" w:hAnsi="Times New Roman"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6、</w:t>
      </w:r>
      <w:r>
        <w:rPr>
          <w:rFonts w:hint="default" w:ascii="仿宋_GB2312" w:hAnsi="Mongolian Baiti" w:eastAsia="仿宋_GB2312" w:cs="Mongolian Baiti"/>
          <w:kern w:val="1"/>
          <w:sz w:val="32"/>
          <w:szCs w:val="32"/>
          <w:u w:val="none"/>
          <w:lang w:val="en" w:eastAsia="zh-CN"/>
        </w:rPr>
        <w:t>2022年4月1日</w:t>
      </w:r>
      <w:r>
        <w:rPr>
          <w:rFonts w:hint="eastAsia" w:ascii="仿宋_GB2312" w:hAnsi="Mongolian Baiti" w:eastAsia="仿宋_GB2312" w:cs="Mongolian Baiti"/>
          <w:kern w:val="1"/>
          <w:sz w:val="32"/>
          <w:szCs w:val="32"/>
          <w:u w:val="none"/>
          <w:lang w:val="en" w:eastAsia="zh-CN"/>
        </w:rPr>
        <w:t>现场笔录、</w:t>
      </w:r>
      <w:r>
        <w:rPr>
          <w:rFonts w:hint="eastAsia" w:ascii="Times New Roman" w:hAnsi="Times New Roman" w:eastAsia="仿宋_GB2312" w:cs="仿宋_GB2312"/>
          <w:sz w:val="32"/>
          <w:szCs w:val="32"/>
          <w:u w:val="none"/>
        </w:rPr>
        <w:t>整改报告、</w:t>
      </w:r>
      <w:r>
        <w:rPr>
          <w:rFonts w:hint="eastAsia" w:ascii="Times New Roman" w:hAnsi="Times New Roman" w:eastAsia="仿宋_GB2312" w:cs="仿宋_GB2312"/>
          <w:sz w:val="32"/>
          <w:szCs w:val="32"/>
          <w:u w:val="none"/>
          <w:lang w:val="en-US" w:eastAsia="zh-CN"/>
        </w:rPr>
        <w:t>销毁报废单</w:t>
      </w:r>
      <w:r>
        <w:rPr>
          <w:rFonts w:hint="eastAsia" w:ascii="Times New Roman" w:hAnsi="Times New Roman" w:eastAsia="仿宋_GB2312" w:cs="仿宋_GB2312"/>
          <w:sz w:val="32"/>
          <w:szCs w:val="32"/>
          <w:u w:val="none"/>
        </w:rPr>
        <w:t>，证明</w:t>
      </w:r>
      <w:r>
        <w:rPr>
          <w:rFonts w:hint="eastAsia" w:ascii="Times New Roman" w:hAnsi="Times New Roman" w:eastAsia="仿宋_GB2312" w:cs="仿宋_GB2312"/>
          <w:sz w:val="32"/>
          <w:szCs w:val="32"/>
          <w:u w:val="none"/>
        </w:rPr>
        <w:t>当事人积极改正违法行为的事实。</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行政处罚告知情况，当事人陈述、申辩、听证意见，                             复核以及采纳情况和理由：本局于20</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年</w:t>
      </w:r>
      <w:r>
        <w:rPr>
          <w:rFonts w:hint="default" w:ascii="仿宋_GB2312" w:hAnsi="仿宋_GB2312" w:eastAsia="仿宋_GB2312" w:cs="仿宋_GB2312"/>
          <w:color w:val="000000"/>
          <w:sz w:val="32"/>
          <w:szCs w:val="32"/>
          <w:u w:val="none"/>
          <w:lang w:val="en"/>
        </w:rPr>
        <w:t>1</w:t>
      </w:r>
      <w:r>
        <w:rPr>
          <w:rFonts w:hint="eastAsia" w:ascii="仿宋_GB2312" w:hAnsi="仿宋_GB2312" w:eastAsia="仿宋_GB2312" w:cs="仿宋_GB2312"/>
          <w:color w:val="000000"/>
          <w:sz w:val="32"/>
          <w:szCs w:val="32"/>
          <w:u w:val="none"/>
          <w:lang w:val="en-US" w:eastAsia="zh-CN"/>
        </w:rPr>
        <w:t>0</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11</w:t>
      </w:r>
      <w:r>
        <w:rPr>
          <w:rFonts w:hint="eastAsia" w:ascii="仿宋_GB2312" w:hAnsi="仿宋_GB2312" w:eastAsia="仿宋_GB2312" w:cs="仿宋_GB2312"/>
          <w:color w:val="000000"/>
          <w:sz w:val="32"/>
          <w:szCs w:val="32"/>
          <w:u w:val="none"/>
        </w:rPr>
        <w:t>日依法向当事人送达了《行政处罚告知书》（津辰市监罚告〔20</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auto"/>
          <w:sz w:val="32"/>
          <w:szCs w:val="32"/>
          <w:u w:val="none"/>
          <w:lang w:val="en-US" w:eastAsia="zh-CN"/>
        </w:rPr>
        <w:t>769</w:t>
      </w:r>
      <w:r>
        <w:rPr>
          <w:rFonts w:hint="eastAsia" w:ascii="仿宋_GB2312" w:hAnsi="仿宋_GB2312" w:eastAsia="仿宋_GB2312" w:cs="仿宋_GB2312"/>
          <w:color w:val="000000"/>
          <w:sz w:val="32"/>
          <w:szCs w:val="32"/>
          <w:u w:val="none"/>
        </w:rPr>
        <w:t>号），当事人未提出陈述申辩意见。</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eastAsia="zh-CN"/>
        </w:rPr>
        <w:t>本局认为，</w:t>
      </w:r>
      <w:r>
        <w:rPr>
          <w:rFonts w:hint="eastAsia" w:ascii="仿宋_GB2312" w:hAnsi="仿宋_GB2312" w:eastAsia="仿宋_GB2312" w:cs="仿宋_GB2312"/>
          <w:color w:val="000000"/>
          <w:sz w:val="32"/>
          <w:szCs w:val="32"/>
          <w:u w:val="none"/>
        </w:rPr>
        <w:t xml:space="preserve">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                          </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w:t>
      </w:r>
      <w:r>
        <w:rPr>
          <w:rFonts w:hint="eastAsia" w:ascii="仿宋_GB2312" w:hAnsi="仿宋_GB2312" w:eastAsia="仿宋_GB2312" w:cs="仿宋_GB2312"/>
          <w:color w:val="000000"/>
          <w:sz w:val="32"/>
          <w:szCs w:val="32"/>
          <w:u w:val="none"/>
          <w:lang w:eastAsia="zh-CN"/>
        </w:rPr>
        <w:t>进行处罚。</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kern w:val="1"/>
          <w:sz w:val="32"/>
          <w:szCs w:val="32"/>
          <w:u w:val="none"/>
        </w:rPr>
        <w:t>综</w:t>
      </w:r>
      <w:r>
        <w:rPr>
          <w:rFonts w:hint="eastAsia" w:ascii="仿宋_GB2312" w:hAnsi="仿宋_GB2312" w:eastAsia="仿宋_GB2312" w:cs="仿宋_GB2312"/>
          <w:color w:val="000000"/>
          <w:sz w:val="32"/>
          <w:szCs w:val="32"/>
          <w:u w:val="none"/>
        </w:rPr>
        <w:t>上，当事人上述行为违反了</w:t>
      </w:r>
      <w:r>
        <w:rPr>
          <w:rFonts w:hint="eastAsia" w:ascii="仿宋_GB2312" w:hAnsi="仿宋_GB2312" w:eastAsia="仿宋_GB2312" w:cs="仿宋_GB2312"/>
          <w:color w:val="000000"/>
          <w:sz w:val="32"/>
          <w:szCs w:val="32"/>
          <w:u w:val="none"/>
          <w:lang w:val="en-US" w:eastAsia="zh-CN"/>
        </w:rPr>
        <w:t>《中华人民共和国产品质量法》第十三条第二款和第二十六条第二款第一项的规定，</w:t>
      </w:r>
      <w:r>
        <w:rPr>
          <w:rFonts w:hint="eastAsia" w:ascii="仿宋_GB2312" w:hAnsi="仿宋_GB2312" w:eastAsia="仿宋_GB2312" w:cs="仿宋_GB2312"/>
          <w:color w:val="000000"/>
          <w:sz w:val="32"/>
          <w:szCs w:val="32"/>
          <w:u w:val="none"/>
        </w:rPr>
        <w:t>依据</w:t>
      </w:r>
      <w:r>
        <w:rPr>
          <w:rFonts w:hint="eastAsia" w:ascii="仿宋_GB2312" w:hAnsi="仿宋_GB2312" w:eastAsia="仿宋_GB2312" w:cs="仿宋_GB2312"/>
          <w:color w:val="000000"/>
          <w:sz w:val="32"/>
          <w:szCs w:val="32"/>
          <w:u w:val="none"/>
          <w:lang w:val="en-US" w:eastAsia="zh-CN"/>
        </w:rPr>
        <w:t>中华人民共和国产品质量法》第四十九条的规定，</w:t>
      </w:r>
      <w:r>
        <w:rPr>
          <w:rFonts w:hint="eastAsia" w:ascii="仿宋_GB2312" w:hAnsi="仿宋_GB2312" w:eastAsia="仿宋_GB2312" w:cs="仿宋_GB2312"/>
          <w:color w:val="000000"/>
          <w:sz w:val="32"/>
          <w:szCs w:val="32"/>
          <w:u w:val="none"/>
        </w:rPr>
        <w:t>现责令当事人停止生产销售不符合保障人体健康和人身财产安全的国家标准的</w:t>
      </w:r>
      <w:r>
        <w:rPr>
          <w:rFonts w:hint="eastAsia" w:ascii="仿宋_GB2312" w:hAnsi="仿宋_GB2312" w:eastAsia="仿宋_GB2312" w:cs="仿宋_GB2312"/>
          <w:color w:val="000000"/>
          <w:sz w:val="32"/>
          <w:szCs w:val="32"/>
          <w:u w:val="none"/>
          <w:lang w:eastAsia="zh-CN"/>
        </w:rPr>
        <w:t>电动自行车</w:t>
      </w:r>
      <w:r>
        <w:rPr>
          <w:rFonts w:hint="eastAsia" w:ascii="仿宋_GB2312" w:hAnsi="仿宋_GB2312" w:eastAsia="仿宋_GB2312" w:cs="仿宋_GB2312"/>
          <w:color w:val="000000"/>
          <w:sz w:val="32"/>
          <w:szCs w:val="32"/>
          <w:u w:val="none"/>
        </w:rPr>
        <w:t>行为，</w:t>
      </w:r>
      <w:r>
        <w:rPr>
          <w:rFonts w:hint="eastAsia" w:ascii="仿宋_GB2312" w:hAnsi="仿宋_GB2312" w:eastAsia="仿宋_GB2312" w:cs="仿宋_GB2312"/>
          <w:color w:val="000000"/>
          <w:sz w:val="32"/>
          <w:szCs w:val="32"/>
          <w:u w:val="none"/>
          <w:lang w:eastAsia="zh-CN"/>
        </w:rPr>
        <w:t>并</w:t>
      </w:r>
      <w:r>
        <w:rPr>
          <w:rFonts w:hint="eastAsia" w:ascii="仿宋_GB2312" w:hAnsi="仿宋_GB2312" w:eastAsia="仿宋_GB2312" w:cs="仿宋_GB2312"/>
          <w:color w:val="000000"/>
          <w:sz w:val="32"/>
          <w:szCs w:val="32"/>
          <w:u w:val="none"/>
        </w:rPr>
        <w:t>决定处罚如下：</w:t>
      </w:r>
    </w:p>
    <w:p>
      <w:pPr>
        <w:keepNext w:val="0"/>
        <w:keepLines w:val="0"/>
        <w:pageBreakBefore w:val="0"/>
        <w:widowControl w:val="0"/>
        <w:kinsoku/>
        <w:wordWrap/>
        <w:overflowPunct/>
        <w:topLinePunct w:val="0"/>
        <w:autoSpaceDE/>
        <w:autoSpaceDN/>
        <w:bidi w:val="0"/>
        <w:adjustRightInd/>
        <w:snapToGrid/>
        <w:spacing w:line="504" w:lineRule="auto"/>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val="en-US" w:eastAsia="zh-CN"/>
        </w:rPr>
        <w:t xml:space="preserve">   1.处违法生产产品货值金额两倍的罚款10500元；2.没收违法所得280.8元，罚没共计10780.8元。                 </w:t>
      </w:r>
      <w:r>
        <w:rPr>
          <w:rFonts w:hint="eastAsia" w:ascii="仿宋_GB2312" w:hAnsi="仿宋_GB2312" w:eastAsia="仿宋_GB2312" w:cs="仿宋_GB2312"/>
          <w:color w:val="000000"/>
          <w:u w:val="none"/>
        </w:rPr>
        <w:t xml:space="preserve">                                               </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 xml:space="preserve">第一项的规定，每日按罚款数额的百分之三加处罚款，并将依法申请人民法院强制执行。                      </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                                                    </w:t>
      </w:r>
      <w:r>
        <w:rPr>
          <w:rFonts w:hint="eastAsia" w:ascii="仿宋_GB2312" w:hAnsi="仿宋_GB2312" w:eastAsia="仿宋_GB2312" w:cs="仿宋_GB2312"/>
          <w:bCs/>
          <w:color w:val="000000"/>
          <w:sz w:val="32"/>
          <w:szCs w:val="32"/>
          <w:u w:val="none"/>
        </w:rPr>
        <w:t xml:space="preserve">    </w:t>
      </w:r>
    </w:p>
    <w:p>
      <w:pPr>
        <w:spacing w:line="600" w:lineRule="auto"/>
        <w:ind w:firstLine="601"/>
        <w:jc w:val="center"/>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p>
    <w:p>
      <w:pPr>
        <w:spacing w:line="600" w:lineRule="auto"/>
        <w:ind w:firstLine="601"/>
        <w:jc w:val="center"/>
        <w:rPr>
          <w:rFonts w:hint="eastAsia" w:ascii="仿宋_GB2312" w:hAnsi="仿宋_GB2312" w:eastAsia="仿宋_GB2312" w:cs="仿宋_GB2312"/>
          <w:color w:val="000000"/>
          <w:sz w:val="32"/>
          <w:szCs w:val="32"/>
          <w:u w:val="none"/>
        </w:rPr>
      </w:pPr>
    </w:p>
    <w:p>
      <w:pPr>
        <w:spacing w:line="600" w:lineRule="auto"/>
        <w:ind w:firstLine="601"/>
        <w:jc w:val="center"/>
        <w:rPr>
          <w:rFonts w:hint="eastAsia" w:ascii="仿宋_GB2312" w:hAnsi="仿宋_GB2312" w:eastAsia="仿宋_GB2312" w:cs="仿宋_GB2312"/>
          <w:color w:val="000000"/>
          <w:sz w:val="32"/>
          <w:szCs w:val="32"/>
          <w:u w:val="none"/>
        </w:rPr>
      </w:pPr>
    </w:p>
    <w:p>
      <w:pPr>
        <w:spacing w:line="600" w:lineRule="auto"/>
        <w:ind w:firstLine="2880" w:firstLineChars="900"/>
        <w:jc w:val="both"/>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天津市北辰区市场监督管理局</w:t>
      </w:r>
    </w:p>
    <w:p>
      <w:pPr>
        <w:spacing w:line="600" w:lineRule="auto"/>
        <w:ind w:right="640" w:firstLine="600"/>
        <w:jc w:val="center"/>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bookmarkStart w:id="0" w:name="_GoBack"/>
      <w:bookmarkEnd w:id="0"/>
      <w:r>
        <w:rPr>
          <w:rFonts w:hint="eastAsia" w:ascii="仿宋_GB2312" w:hAnsi="仿宋_GB2312" w:eastAsia="仿宋_GB2312" w:cs="仿宋_GB2312"/>
          <w:color w:val="000000"/>
          <w:sz w:val="32"/>
          <w:szCs w:val="32"/>
          <w:u w:val="none"/>
        </w:rPr>
        <w:t>20</w:t>
      </w:r>
      <w:r>
        <w:rPr>
          <w:rFonts w:hint="eastAsia" w:ascii="仿宋_GB2312" w:hAnsi="仿宋_GB2312" w:eastAsia="仿宋_GB2312" w:cs="仿宋_GB2312"/>
          <w:color w:val="000000"/>
          <w:sz w:val="32"/>
          <w:szCs w:val="32"/>
          <w:u w:val="none"/>
          <w:lang w:val="en-US" w:eastAsia="zh-CN"/>
        </w:rPr>
        <w:t>2</w:t>
      </w:r>
      <w:r>
        <w:rPr>
          <w:rFonts w:hint="default" w:ascii="仿宋_GB2312" w:hAnsi="仿宋_GB2312" w:eastAsia="仿宋_GB2312" w:cs="仿宋_GB2312"/>
          <w:color w:val="000000"/>
          <w:sz w:val="32"/>
          <w:szCs w:val="32"/>
          <w:u w:val="none"/>
          <w:lang w:val="en"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16</w:t>
      </w:r>
      <w:r>
        <w:rPr>
          <w:rFonts w:hint="eastAsia" w:ascii="仿宋_GB2312" w:hAnsi="仿宋_GB2312" w:eastAsia="仿宋_GB2312" w:cs="仿宋_GB2312"/>
          <w:color w:val="000000"/>
          <w:sz w:val="32"/>
          <w:szCs w:val="32"/>
          <w:u w:val="none"/>
        </w:rPr>
        <w:t>日</w:t>
      </w: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pacing w:line="520" w:lineRule="exact"/>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056BD"/>
    <w:rsid w:val="45F056BD"/>
    <w:rsid w:val="6FF7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2022-10-14T09:39:00Z</dcterms:created>
  <dc:creator>何兰</dc:creator>
  <cp:lastModifiedBy>admin</cp:lastModifiedBy>
  <dcterms:modified xsi:type="dcterms:W3CDTF">2022-10-21T09:05:07Z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397A90680D6944268E73AE03431D4C88</vt:lpwstr>
  </property>
</Properties>
</file>