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820</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Times New Roman" w:hAnsi="Times New Roman" w:eastAsia="仿宋_GB2312" w:cs="Mongolian Baiti"/>
          <w:bCs/>
          <w:kern w:val="1"/>
          <w:sz w:val="32"/>
          <w:szCs w:val="32"/>
          <w:u w:val="none"/>
          <w:lang w:eastAsia="zh-CN"/>
        </w:rPr>
        <w:t>天津市小神牛科技发展有限公司北辰分公司</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91120113MA06DHLL5A</w:t>
      </w:r>
    </w:p>
    <w:p>
      <w:pPr>
        <w:spacing w:line="560" w:lineRule="exact"/>
        <w:rPr>
          <w:rFonts w:hint="eastAsia" w:ascii="Times New Roman" w:hAnsi="Times New Roman" w:eastAsia="仿宋_GB2312" w:cs="Mongolian Baiti"/>
          <w:kern w:val="1"/>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天津市北辰区宜兴埠镇景远路金山线缆厂后钢结构</w:t>
      </w:r>
      <w:r>
        <w:rPr>
          <w:rFonts w:hint="eastAsia" w:ascii="Times New Roman" w:hAnsi="Times New Roman" w:eastAsia="仿宋_GB2312" w:cs="Mongolian Baiti"/>
          <w:kern w:val="1"/>
          <w:sz w:val="32"/>
          <w:szCs w:val="32"/>
          <w:u w:val="none"/>
          <w:lang w:val="en-US" w:eastAsia="zh-CN"/>
        </w:rPr>
        <w:t>7库</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lang w:eastAsia="zh-CN"/>
        </w:rPr>
        <w:t>寇海利</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p>
    <w:p>
      <w:pPr>
        <w:spacing w:line="560" w:lineRule="exact"/>
        <w:ind w:firstLine="640" w:firstLineChars="200"/>
        <w:rPr>
          <w:rFonts w:ascii="仿宋_GB2312" w:eastAsia="仿宋_GB2312" w:cs="仿宋_GB2312"/>
          <w:kern w:val="1"/>
          <w:u w:val="none"/>
        </w:rPr>
      </w:pPr>
      <w:r>
        <w:rPr>
          <w:rFonts w:hint="eastAsia" w:ascii="仿宋_GB2312" w:hAnsi="仿宋_GB2312" w:eastAsia="仿宋_GB2312" w:cs="仿宋_GB2312"/>
          <w:sz w:val="32"/>
          <w:szCs w:val="32"/>
          <w:u w:val="none"/>
          <w:lang w:val="en-US" w:eastAsia="zh-CN"/>
        </w:rPr>
        <w:t>2022年9月8日，我局接到的</w:t>
      </w:r>
      <w:r>
        <w:rPr>
          <w:rFonts w:hint="eastAsia" w:ascii="Times New Roman" w:hAnsi="Times New Roman" w:eastAsia="仿宋_GB2312" w:cs="Mongolian Baiti"/>
          <w:bCs/>
          <w:kern w:val="1"/>
          <w:sz w:val="32"/>
          <w:szCs w:val="32"/>
          <w:u w:val="none"/>
          <w:lang w:eastAsia="zh-CN"/>
        </w:rPr>
        <w:t>天津市小神牛科技发展有限公司北辰分公司</w:t>
      </w:r>
      <w:r>
        <w:rPr>
          <w:rFonts w:hint="eastAsia" w:ascii="Times New Roman" w:eastAsia="仿宋_GB2312" w:cs="Mongolian Baiti"/>
          <w:bCs/>
          <w:kern w:val="1"/>
          <w:sz w:val="32"/>
          <w:szCs w:val="32"/>
          <w:u w:val="none"/>
          <w:lang w:eastAsia="zh-CN"/>
        </w:rPr>
        <w:t>的</w:t>
      </w:r>
      <w:r>
        <w:rPr>
          <w:rFonts w:hint="eastAsia" w:ascii="仿宋_GB2312" w:hAnsi="仿宋_GB2312" w:eastAsia="仿宋_GB2312" w:cs="仿宋_GB2312"/>
          <w:sz w:val="32"/>
          <w:szCs w:val="32"/>
          <w:u w:val="none"/>
          <w:lang w:val="en-US" w:eastAsia="zh-CN"/>
        </w:rPr>
        <w:t>产品质量监督抽查不合格检验检测报告（ZB-2022-DC006）和（ZB-2022-DC-A005），检测报告（ZB-2022-DC006）报告显示</w:t>
      </w:r>
      <w:r>
        <w:rPr>
          <w:rFonts w:hint="eastAsia" w:ascii="Times New Roman" w:hAnsi="Times New Roman" w:eastAsia="仿宋_GB2312" w:cs="Mongolian Baiti"/>
          <w:bCs/>
          <w:kern w:val="1"/>
          <w:sz w:val="32"/>
          <w:szCs w:val="32"/>
          <w:u w:val="none"/>
          <w:lang w:eastAsia="zh-CN"/>
        </w:rPr>
        <w:t>天津市小神牛科技发展有限公司北辰分公司</w:t>
      </w:r>
      <w:r>
        <w:rPr>
          <w:rFonts w:hint="eastAsia" w:ascii="仿宋_GB2312" w:hAnsi="仿宋_GB2312" w:eastAsia="仿宋_GB2312" w:cs="仿宋_GB2312"/>
          <w:sz w:val="32"/>
          <w:szCs w:val="32"/>
          <w:u w:val="none"/>
          <w:lang w:val="en-US" w:eastAsia="zh-CN"/>
        </w:rPr>
        <w:t>生产的生产日期为2022年6月7日、规格型号为TDS888Z的电动自行车在</w:t>
      </w:r>
      <w:r>
        <w:rPr>
          <w:rFonts w:hint="eastAsia" w:ascii="仿宋_GB2312" w:hAnsi="仿宋_GB2312" w:eastAsia="仿宋_GB2312" w:cs="仿宋_GB2312"/>
          <w:sz w:val="32"/>
          <w:szCs w:val="32"/>
          <w:u w:val="none"/>
          <w:lang w:eastAsia="zh-CN"/>
        </w:rPr>
        <w:t>天津市市场监督管理委员会</w:t>
      </w:r>
      <w:r>
        <w:rPr>
          <w:rFonts w:hint="eastAsia" w:ascii="仿宋_GB2312" w:hAnsi="仿宋_GB2312" w:eastAsia="仿宋_GB2312" w:cs="仿宋_GB2312"/>
          <w:sz w:val="32"/>
          <w:szCs w:val="32"/>
          <w:u w:val="none"/>
          <w:lang w:val="en-US" w:eastAsia="zh-CN"/>
        </w:rPr>
        <w:t>组织的抽检中，经天津中标检测认证有限公司抽样检验，照明和鸣号装置（反射器、照明）不符合GB17761-2018标准，检验结论为不合格。（ZB-2022-DC-A005）报告显示</w:t>
      </w:r>
      <w:r>
        <w:rPr>
          <w:rFonts w:hint="eastAsia" w:ascii="Times New Roman" w:hAnsi="Times New Roman" w:eastAsia="仿宋_GB2312" w:cs="Mongolian Baiti"/>
          <w:bCs/>
          <w:kern w:val="1"/>
          <w:sz w:val="32"/>
          <w:szCs w:val="32"/>
          <w:u w:val="none"/>
          <w:lang w:eastAsia="zh-CN"/>
        </w:rPr>
        <w:t>天津市小神牛科技发展有限公司使用的标称东莞市昂迪电子科技有限公司的规格型号为</w:t>
      </w:r>
      <w:r>
        <w:rPr>
          <w:rFonts w:hint="eastAsia" w:ascii="仿宋_GB2312" w:hAnsi="仿宋_GB2312" w:eastAsia="仿宋_GB2312" w:cs="仿宋_GB2312"/>
          <w:sz w:val="32"/>
          <w:szCs w:val="32"/>
          <w:u w:val="none"/>
          <w:lang w:val="en-US" w:eastAsia="zh-CN"/>
        </w:rPr>
        <w:t>DZL501006</w:t>
      </w:r>
      <w:r>
        <w:rPr>
          <w:rFonts w:hint="eastAsia" w:ascii="Times New Roman" w:hAnsi="Times New Roman" w:eastAsia="仿宋_GB2312" w:cs="Mongolian Baiti"/>
          <w:bCs/>
          <w:kern w:val="1"/>
          <w:sz w:val="32"/>
          <w:szCs w:val="32"/>
          <w:u w:val="none"/>
          <w:lang w:eastAsia="zh-CN"/>
        </w:rPr>
        <w:t>锂离子电池充电器，输入电流不符合</w:t>
      </w:r>
      <w:r>
        <w:rPr>
          <w:rFonts w:hint="eastAsia" w:ascii="仿宋_GB2312" w:hAnsi="仿宋_GB2312" w:eastAsia="仿宋_GB2312" w:cs="仿宋_GB2312"/>
          <w:sz w:val="32"/>
          <w:szCs w:val="32"/>
          <w:u w:val="none"/>
          <w:lang w:val="en-US" w:eastAsia="zh-CN"/>
        </w:rPr>
        <w:t>GB/T 36944-2018标准，检验结论为不合格。我局执法人员根据</w:t>
      </w:r>
      <w:r>
        <w:rPr>
          <w:rFonts w:hint="eastAsia" w:ascii="仿宋_GB2312" w:hAnsi="仿宋_GB2312" w:eastAsia="仿宋_GB2312" w:cs="仿宋_GB2312"/>
          <w:sz w:val="32"/>
          <w:szCs w:val="32"/>
          <w:u w:val="none"/>
        </w:rPr>
        <w:t>该检验报告内容于202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日对当事人进行执法检查，当事人确认该批次抽检不合格产品为当事人生产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，并对检验报告结果无异议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当事人库房</w:t>
      </w:r>
      <w:r>
        <w:rPr>
          <w:rFonts w:hint="eastAsia" w:ascii="仿宋_GB2312" w:hAnsi="仿宋_GB2312" w:eastAsia="仿宋_GB2312" w:cs="仿宋_GB2312"/>
          <w:sz w:val="32"/>
          <w:szCs w:val="32"/>
          <w:u w:val="none"/>
          <w:lang w:eastAsia="zh-CN"/>
        </w:rPr>
        <w:t>内无库存，当事人称抽检为无偿提供样品，抽检后将该批次产品进行封存，等待检测结果后得知该批次电动车不合格后，已将剩余电动车拆解，</w:t>
      </w:r>
      <w:r>
        <w:rPr>
          <w:rFonts w:hint="eastAsia" w:ascii="Times New Roman" w:hAnsi="Times New Roman" w:eastAsia="仿宋_GB2312" w:cs="Mongolian Baiti"/>
          <w:bCs/>
          <w:kern w:val="1"/>
          <w:sz w:val="32"/>
          <w:szCs w:val="32"/>
          <w:u w:val="none"/>
          <w:lang w:eastAsia="zh-CN"/>
        </w:rPr>
        <w:t>锂离子电池充电器已全部销毁</w:t>
      </w:r>
      <w:r>
        <w:rPr>
          <w:rFonts w:hint="eastAsia" w:ascii="仿宋_GB2312" w:hAnsi="仿宋_GB2312" w:eastAsia="仿宋_GB2312" w:cs="仿宋_GB2312"/>
          <w:sz w:val="32"/>
          <w:szCs w:val="32"/>
          <w:u w:val="none"/>
        </w:rPr>
        <w:t>，当事人因涉嫌生产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不符合保障人体健康和人身财产安全的国家标准的电动自行车行为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rPr>
        <w:t>日，执法人员报经局领导批准，予以立案调查</w:t>
      </w:r>
      <w:r>
        <w:rPr>
          <w:rFonts w:hint="eastAsia" w:ascii="仿宋_GB2312" w:hAns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仿宋_GB2312" w:eastAsia="仿宋_GB2312" w:cs="仿宋_GB2312"/>
          <w:sz w:val="32"/>
          <w:szCs w:val="32"/>
          <w:u w:val="none"/>
        </w:rPr>
        <w:t>当事人</w:t>
      </w:r>
      <w:r>
        <w:rPr>
          <w:rFonts w:hint="eastAsia" w:ascii="仿宋_GB2312" w:hAnsi="仿宋_GB2312" w:eastAsia="仿宋_GB2312" w:cs="仿宋_GB2312"/>
          <w:sz w:val="32"/>
          <w:szCs w:val="32"/>
          <w:u w:val="none"/>
          <w:lang w:val="en-US" w:eastAsia="zh-CN"/>
        </w:rPr>
        <w:t>2022年6月7日</w:t>
      </w:r>
      <w:r>
        <w:rPr>
          <w:rFonts w:hint="eastAsia" w:ascii="仿宋_GB2312" w:hAnsi="仿宋_GB2312" w:eastAsia="仿宋_GB2312" w:cs="仿宋_GB2312"/>
          <w:sz w:val="32"/>
          <w:szCs w:val="32"/>
          <w:u w:val="none"/>
        </w:rPr>
        <w:t>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规格型号为</w:t>
      </w:r>
      <w:r>
        <w:rPr>
          <w:rFonts w:hint="eastAsia" w:ascii="仿宋_GB2312" w:hAnsi="仿宋_GB2312" w:eastAsia="仿宋_GB2312" w:cs="仿宋_GB2312"/>
          <w:sz w:val="32"/>
          <w:szCs w:val="32"/>
          <w:u w:val="none"/>
          <w:lang w:val="en-US" w:eastAsia="zh-CN"/>
        </w:rPr>
        <w:t>TDS888Z</w:t>
      </w:r>
      <w:r>
        <w:rPr>
          <w:rFonts w:hint="eastAsia" w:ascii="仿宋_GB2312" w:hAnsi="仿宋_GB2312" w:eastAsia="仿宋_GB2312" w:cs="仿宋_GB2312"/>
          <w:sz w:val="32"/>
          <w:szCs w:val="32"/>
          <w:u w:val="none"/>
        </w:rPr>
        <w:t>的电动自行车</w:t>
      </w:r>
      <w:r>
        <w:rPr>
          <w:rFonts w:hint="eastAsia" w:ascii="仿宋_GB2312" w:hAnsi="仿宋_GB2312" w:eastAsia="仿宋_GB2312" w:cs="仿宋_GB2312"/>
          <w:sz w:val="32"/>
          <w:szCs w:val="32"/>
          <w:u w:val="none"/>
          <w:lang w:eastAsia="zh-CN"/>
        </w:rPr>
        <w:t>和</w:t>
      </w:r>
      <w:r>
        <w:rPr>
          <w:rFonts w:hint="eastAsia" w:ascii="Times New Roman" w:hAnsi="Times New Roman" w:eastAsia="仿宋_GB2312" w:cs="Mongolian Baiti"/>
          <w:bCs/>
          <w:kern w:val="1"/>
          <w:sz w:val="32"/>
          <w:szCs w:val="32"/>
          <w:u w:val="none"/>
          <w:lang w:eastAsia="zh-CN"/>
        </w:rPr>
        <w:t>型号为</w:t>
      </w:r>
      <w:r>
        <w:rPr>
          <w:rFonts w:hint="eastAsia" w:ascii="仿宋_GB2312" w:hAnsi="仿宋_GB2312" w:eastAsia="仿宋_GB2312" w:cs="仿宋_GB2312"/>
          <w:sz w:val="32"/>
          <w:szCs w:val="32"/>
          <w:u w:val="none"/>
          <w:lang w:val="en-US" w:eastAsia="zh-CN"/>
        </w:rPr>
        <w:t>DZL501006</w:t>
      </w:r>
      <w:r>
        <w:rPr>
          <w:rFonts w:hint="eastAsia" w:ascii="Times New Roman" w:hAnsi="Times New Roman" w:eastAsia="仿宋_GB2312" w:cs="Mongolian Baiti"/>
          <w:bCs/>
          <w:kern w:val="1"/>
          <w:sz w:val="32"/>
          <w:szCs w:val="32"/>
          <w:u w:val="none"/>
          <w:lang w:eastAsia="zh-CN"/>
        </w:rPr>
        <w:t>锂离子电池充电器</w:t>
      </w:r>
      <w:r>
        <w:rPr>
          <w:rFonts w:hint="eastAsia" w:ascii="Times New Roman" w:eastAsia="仿宋_GB2312" w:cs="Mongolian Baiti"/>
          <w:bCs/>
          <w:kern w:val="1"/>
          <w:sz w:val="32"/>
          <w:szCs w:val="32"/>
          <w:u w:val="none"/>
          <w:lang w:eastAsia="zh-CN"/>
        </w:rPr>
        <w:t>，</w:t>
      </w:r>
      <w:r>
        <w:rPr>
          <w:rFonts w:hint="eastAsia" w:ascii="仿宋_GB2312" w:hAnsi="仿宋_GB2312" w:eastAsia="仿宋_GB2312" w:cs="仿宋_GB2312"/>
          <w:sz w:val="32"/>
          <w:szCs w:val="32"/>
          <w:u w:val="none"/>
          <w:lang w:val="en-US" w:eastAsia="zh-CN"/>
        </w:rPr>
        <w:t>在</w:t>
      </w:r>
      <w:r>
        <w:rPr>
          <w:rFonts w:hint="eastAsia" w:ascii="仿宋_GB2312" w:hAnsi="仿宋_GB2312" w:eastAsia="仿宋_GB2312" w:cs="仿宋_GB2312"/>
          <w:sz w:val="32"/>
          <w:szCs w:val="32"/>
          <w:u w:val="none"/>
          <w:lang w:eastAsia="zh-CN"/>
        </w:rPr>
        <w:t>天津市市场监督管理委员会</w:t>
      </w:r>
      <w:r>
        <w:rPr>
          <w:rFonts w:hint="eastAsia" w:ascii="仿宋_GB2312" w:hAnsi="仿宋_GB2312" w:eastAsia="仿宋_GB2312" w:cs="仿宋_GB2312"/>
          <w:sz w:val="32"/>
          <w:szCs w:val="32"/>
          <w:u w:val="none"/>
          <w:lang w:val="en-US" w:eastAsia="zh-CN"/>
        </w:rPr>
        <w:t>组织监督抽查中，经天津中标检测认证有限公司抽样检验，电动车照明和鸣号装置（反射器、照明）不符合GB17761-2018标准和</w:t>
      </w:r>
      <w:r>
        <w:rPr>
          <w:rFonts w:hint="eastAsia" w:ascii="Times New Roman" w:hAnsi="Times New Roman" w:eastAsia="仿宋_GB2312" w:cs="Mongolian Baiti"/>
          <w:bCs/>
          <w:kern w:val="1"/>
          <w:sz w:val="32"/>
          <w:szCs w:val="32"/>
          <w:u w:val="none"/>
          <w:lang w:eastAsia="zh-CN"/>
        </w:rPr>
        <w:t>锂离子电池充电器，输入电流不符合</w:t>
      </w:r>
      <w:r>
        <w:rPr>
          <w:rFonts w:hint="eastAsia" w:ascii="仿宋_GB2312" w:hAnsi="仿宋_GB2312" w:eastAsia="仿宋_GB2312" w:cs="仿宋_GB2312"/>
          <w:sz w:val="32"/>
          <w:szCs w:val="32"/>
          <w:u w:val="none"/>
          <w:lang w:val="en-US" w:eastAsia="zh-CN"/>
        </w:rPr>
        <w:t>GB/T 36944-2018</w:t>
      </w:r>
      <w:r>
        <w:rPr>
          <w:rFonts w:hint="eastAsia" w:ascii="Times New Roman" w:hAnsi="Times New Roman" w:eastAsia="仿宋_GB2312" w:cs="Mongolian Baiti"/>
          <w:bCs/>
          <w:kern w:val="1"/>
          <w:sz w:val="32"/>
          <w:szCs w:val="32"/>
          <w:u w:val="none"/>
          <w:lang w:val="en-US" w:eastAsia="zh-CN"/>
        </w:rPr>
        <w:t>标准</w:t>
      </w:r>
      <w:r>
        <w:rPr>
          <w:rFonts w:hint="eastAsia" w:ascii="Times New Roman" w:eastAsia="仿宋_GB2312" w:cs="Mongolian Baiti"/>
          <w:bCs/>
          <w:kern w:val="1"/>
          <w:sz w:val="32"/>
          <w:szCs w:val="32"/>
          <w:u w:val="none"/>
          <w:lang w:val="en-US" w:eastAsia="zh-CN"/>
        </w:rPr>
        <w:t>，</w:t>
      </w:r>
      <w:r>
        <w:rPr>
          <w:rFonts w:hint="eastAsia" w:ascii="仿宋_GB2312" w:hAnsi="仿宋_GB2312" w:eastAsia="仿宋_GB2312" w:cs="仿宋_GB2312"/>
          <w:sz w:val="32"/>
          <w:szCs w:val="32"/>
          <w:u w:val="none"/>
          <w:lang w:val="en-US" w:eastAsia="zh-CN"/>
        </w:rPr>
        <w:t>检验结论为不合格。</w:t>
      </w:r>
      <w:r>
        <w:rPr>
          <w:rFonts w:hint="eastAsia" w:ascii="仿宋_GB2312" w:hAnsi="仿宋_GB2312" w:eastAsia="仿宋_GB2312" w:cs="仿宋_GB2312"/>
          <w:sz w:val="32"/>
          <w:szCs w:val="32"/>
          <w:u w:val="none"/>
        </w:rPr>
        <w:t>当事人对上述检验结果无异议，在复检期内</w:t>
      </w:r>
      <w:r>
        <w:rPr>
          <w:rFonts w:hint="eastAsia" w:ascii="仿宋_GB2312" w:hAnsi="仿宋_GB2312" w:eastAsia="仿宋_GB2312" w:cs="仿宋_GB2312"/>
          <w:sz w:val="32"/>
          <w:szCs w:val="32"/>
          <w:u w:val="none"/>
          <w:lang w:eastAsia="zh-CN"/>
        </w:rPr>
        <w:t>未提出复检申请</w:t>
      </w:r>
      <w:r>
        <w:rPr>
          <w:rFonts w:hint="eastAsia" w:ascii="仿宋_GB2312" w:hAnsi="仿宋_GB2312" w:eastAsia="仿宋_GB2312" w:cs="仿宋_GB2312"/>
          <w:sz w:val="32"/>
          <w:szCs w:val="32"/>
          <w:u w:val="none"/>
        </w:rPr>
        <w:t>。上述行为满足生产</w:t>
      </w:r>
      <w:r>
        <w:rPr>
          <w:rFonts w:hint="eastAsia" w:ascii="仿宋_GB2312" w:hAnsi="仿宋_GB2312" w:eastAsia="仿宋_GB2312" w:cs="仿宋_GB2312"/>
          <w:sz w:val="32"/>
          <w:szCs w:val="32"/>
          <w:u w:val="none"/>
          <w:lang w:val="en-US" w:eastAsia="zh-CN"/>
        </w:rPr>
        <w:t>销售</w:t>
      </w:r>
      <w:r>
        <w:rPr>
          <w:rFonts w:hint="eastAsia" w:ascii="仿宋_GB2312" w:hAnsi="仿宋_GB2312" w:eastAsia="仿宋_GB2312" w:cs="仿宋_GB2312"/>
          <w:sz w:val="32"/>
          <w:szCs w:val="32"/>
          <w:u w:val="none"/>
        </w:rPr>
        <w:t>不符合保障人体健康和人身财产安全的国家标准的电动自行车行为的构成要件。</w:t>
      </w:r>
      <w:r>
        <w:rPr>
          <w:rFonts w:hint="eastAsia" w:ascii="仿宋_GB2312" w:hAnsi="仿宋_GB2312" w:eastAsia="仿宋_GB2312" w:cs="仿宋_GB2312"/>
          <w:color w:val="auto"/>
          <w:sz w:val="32"/>
          <w:szCs w:val="32"/>
          <w:u w:val="none"/>
        </w:rPr>
        <w:t>当事人</w:t>
      </w:r>
      <w:r>
        <w:rPr>
          <w:rFonts w:hint="eastAsia" w:ascii="仿宋_GB2312" w:hAnsi="仿宋_GB2312" w:eastAsia="仿宋_GB2312" w:cs="仿宋_GB2312"/>
          <w:color w:val="auto"/>
          <w:sz w:val="32"/>
          <w:szCs w:val="32"/>
          <w:u w:val="none"/>
          <w:lang w:eastAsia="zh-CN"/>
        </w:rPr>
        <w:t>共</w:t>
      </w:r>
      <w:r>
        <w:rPr>
          <w:rFonts w:hint="eastAsia" w:ascii="仿宋_GB2312" w:hAnsi="仿宋_GB2312" w:eastAsia="仿宋_GB2312" w:cs="仿宋_GB2312"/>
          <w:color w:val="auto"/>
          <w:sz w:val="32"/>
          <w:szCs w:val="32"/>
          <w:u w:val="none"/>
        </w:rPr>
        <w:t>生产上述</w:t>
      </w:r>
      <w:r>
        <w:rPr>
          <w:rFonts w:hint="eastAsia" w:ascii="仿宋_GB2312" w:hAnsi="仿宋_GB2312" w:eastAsia="仿宋_GB2312" w:cs="仿宋_GB2312"/>
          <w:color w:val="auto"/>
          <w:sz w:val="32"/>
          <w:szCs w:val="32"/>
          <w:u w:val="none"/>
          <w:lang w:eastAsia="zh-CN"/>
        </w:rPr>
        <w:t>规格</w:t>
      </w:r>
      <w:r>
        <w:rPr>
          <w:rFonts w:hint="eastAsia" w:ascii="仿宋_GB2312" w:hAnsi="仿宋_GB2312" w:eastAsia="仿宋_GB2312" w:cs="仿宋_GB2312"/>
          <w:color w:val="auto"/>
          <w:sz w:val="32"/>
          <w:szCs w:val="32"/>
          <w:u w:val="none"/>
        </w:rPr>
        <w:t>型号电动自行车</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eastAsia="zh-CN"/>
        </w:rPr>
        <w:t>抽样</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eastAsia="zh-CN"/>
        </w:rPr>
        <w:t>，拆解</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val="en-US" w:eastAsia="zh-CN"/>
        </w:rPr>
        <w:t>，</w:t>
      </w:r>
      <w:r>
        <w:rPr>
          <w:rFonts w:hint="eastAsia" w:ascii="Times New Roman" w:hAnsi="Times New Roman" w:eastAsia="仿宋_GB2312" w:cs="Mongolian Baiti"/>
          <w:bCs/>
          <w:kern w:val="1"/>
          <w:sz w:val="32"/>
          <w:szCs w:val="32"/>
          <w:u w:val="none"/>
          <w:lang w:eastAsia="zh-CN"/>
        </w:rPr>
        <w:t>锂离子电池充电器</w:t>
      </w:r>
      <w:r>
        <w:rPr>
          <w:rFonts w:hint="eastAsia" w:ascii="仿宋_GB2312" w:hAnsi="仿宋_GB2312" w:eastAsia="仿宋_GB2312" w:cs="仿宋_GB2312"/>
          <w:sz w:val="32"/>
          <w:szCs w:val="32"/>
          <w:u w:val="none"/>
          <w:lang w:val="en-US" w:eastAsia="zh-CN"/>
        </w:rPr>
        <w:t>40只</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抽样</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只，销毁</w:t>
      </w:r>
      <w:r>
        <w:rPr>
          <w:rFonts w:hint="eastAsia" w:ascii="仿宋_GB2312" w:hAnsi="仿宋_GB2312" w:eastAsia="仿宋_GB2312" w:cs="仿宋_GB2312"/>
          <w:color w:val="auto"/>
          <w:sz w:val="32"/>
          <w:szCs w:val="32"/>
          <w:u w:val="none"/>
          <w:lang w:val="en-US" w:eastAsia="zh-CN"/>
        </w:rPr>
        <w:t>38只，</w:t>
      </w:r>
      <w:r>
        <w:rPr>
          <w:rFonts w:hint="eastAsia" w:ascii="仿宋_GB2312" w:hAnsi="仿宋_GB2312" w:eastAsia="仿宋_GB2312" w:cs="仿宋_GB2312"/>
          <w:color w:val="auto"/>
          <w:sz w:val="32"/>
          <w:szCs w:val="32"/>
          <w:u w:val="none"/>
        </w:rPr>
        <w:t>本案货值金额</w:t>
      </w:r>
      <w:r>
        <w:rPr>
          <w:rFonts w:hint="eastAsia" w:ascii="仿宋_GB2312" w:hAnsi="仿宋_GB2312" w:eastAsia="仿宋_GB2312" w:cs="仿宋_GB2312"/>
          <w:color w:val="auto"/>
          <w:sz w:val="32"/>
          <w:szCs w:val="32"/>
          <w:u w:val="none"/>
          <w:lang w:val="en-US" w:eastAsia="zh-CN"/>
        </w:rPr>
        <w:t>7200元</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无违法所得</w:t>
      </w:r>
      <w:r>
        <w:rPr>
          <w:rFonts w:hint="eastAsia" w:ascii="仿宋_GB2312" w:hAnsi="仿宋_GB2312" w:eastAsia="仿宋_GB2312" w:cs="仿宋_GB2312"/>
          <w:color w:val="auto"/>
          <w:sz w:val="32"/>
          <w:szCs w:val="32"/>
          <w:u w:val="none"/>
        </w:rPr>
        <w:t>。</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eastAsia" w:ascii="仿宋_GB2312" w:hAnsi="仿宋_GB2312" w:eastAsia="仿宋_GB2312" w:cs="仿宋_GB2312"/>
          <w:sz w:val="32"/>
          <w:szCs w:val="32"/>
          <w:u w:val="none"/>
          <w:lang w:val="en-US" w:eastAsia="zh-CN"/>
        </w:rPr>
        <w:t>天津中标检测认证有限公司的产品质量监督抽查不合格检验检测报告（编号：ZB-2022-DC006）和（No.2021SAQD0169）</w:t>
      </w:r>
      <w:r>
        <w:rPr>
          <w:rFonts w:hint="eastAsia" w:ascii="仿宋_GB2312" w:eastAsia="仿宋_GB2312"/>
          <w:sz w:val="32"/>
          <w:szCs w:val="32"/>
          <w:u w:val="none"/>
          <w:lang w:val="en-US" w:eastAsia="zh-CN"/>
        </w:rPr>
        <w:t>2</w:t>
      </w:r>
      <w:r>
        <w:rPr>
          <w:rFonts w:hint="eastAsia" w:ascii="仿宋_GB2312" w:eastAsia="仿宋_GB2312"/>
          <w:sz w:val="32"/>
          <w:szCs w:val="32"/>
          <w:u w:val="none"/>
        </w:rPr>
        <w:t>、</w:t>
      </w:r>
      <w:r>
        <w:rPr>
          <w:rFonts w:hint="eastAsia" w:ascii="Times New Roman" w:hAnsi="Times New Roman" w:eastAsia="仿宋_GB2312" w:cs="仿宋_GB2312"/>
          <w:color w:val="auto"/>
          <w:sz w:val="32"/>
          <w:szCs w:val="32"/>
          <w:u w:val="none"/>
        </w:rPr>
        <w:t>对</w:t>
      </w:r>
      <w:r>
        <w:rPr>
          <w:rFonts w:hint="eastAsia" w:ascii="Times New Roman" w:hAnsi="Times New Roman" w:eastAsia="仿宋_GB2312" w:cs="仿宋_GB2312"/>
          <w:color w:val="auto"/>
          <w:sz w:val="32"/>
          <w:szCs w:val="32"/>
          <w:u w:val="none"/>
          <w:lang w:eastAsia="zh-CN"/>
        </w:rPr>
        <w:t>法定代表人寇海利的询问笔录，授权委托书，寇海利的身份证复印件</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3</w:t>
      </w:r>
      <w:r>
        <w:rPr>
          <w:rFonts w:ascii="仿宋_GB2312" w:eastAsia="仿宋_GB2312"/>
          <w:sz w:val="32"/>
          <w:szCs w:val="32"/>
          <w:u w:val="none"/>
        </w:rPr>
        <w:t>、</w:t>
      </w:r>
      <w:r>
        <w:rPr>
          <w:rFonts w:hint="eastAsia" w:ascii="Times New Roman" w:hAnsi="Times New Roman" w:eastAsia="仿宋_GB2312" w:cs="仿宋_GB2312"/>
          <w:color w:val="auto"/>
          <w:sz w:val="32"/>
          <w:szCs w:val="32"/>
          <w:u w:val="none"/>
        </w:rPr>
        <w:t>现场笔录、</w:t>
      </w:r>
      <w:r>
        <w:rPr>
          <w:rFonts w:hint="eastAsia" w:ascii="Times New Roman" w:hAnsi="Times New Roman" w:eastAsia="仿宋_GB2312" w:cs="仿宋"/>
          <w:color w:val="auto"/>
          <w:sz w:val="32"/>
          <w:szCs w:val="32"/>
          <w:u w:val="none"/>
          <w:lang w:eastAsia="zh-CN"/>
        </w:rPr>
        <w:t>生产计划单、发货单、成本核算单</w:t>
      </w:r>
      <w:r>
        <w:rPr>
          <w:rFonts w:hint="eastAsia" w:ascii="Times New Roman" w:hAnsi="Times New Roman" w:eastAsia="仿宋_GB2312" w:cs="仿宋_GB2312"/>
          <w:color w:val="auto"/>
          <w:sz w:val="32"/>
          <w:szCs w:val="32"/>
          <w:u w:val="none"/>
          <w:lang w:val="en-US" w:eastAsia="zh-CN"/>
        </w:rPr>
        <w:t>、货值金额计算表</w:t>
      </w:r>
      <w:r>
        <w:rPr>
          <w:rFonts w:hint="eastAsia" w:ascii="Times New Roman" w:hAnsi="Times New Roman" w:eastAsia="仿宋_GB2312" w:cs="仿宋_GB2312"/>
          <w:color w:val="auto"/>
          <w:sz w:val="32"/>
          <w:szCs w:val="32"/>
          <w:u w:val="none"/>
          <w:lang w:val="en-US" w:eastAsia="zh-CN"/>
        </w:rPr>
        <w:t>；</w:t>
      </w: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Times New Roman" w:hAnsi="Times New Roman" w:eastAsia="仿宋_GB2312" w:cs="仿宋_GB2312"/>
          <w:sz w:val="32"/>
          <w:szCs w:val="32"/>
          <w:u w:val="none"/>
        </w:rPr>
        <w:t>整改报告、</w:t>
      </w:r>
      <w:r>
        <w:rPr>
          <w:rFonts w:hint="eastAsia" w:ascii="Times New Roman" w:hAnsi="Times New Roman" w:eastAsia="仿宋_GB2312" w:cs="仿宋_GB2312"/>
          <w:sz w:val="32"/>
          <w:szCs w:val="32"/>
          <w:u w:val="none"/>
          <w:lang w:val="en-US" w:eastAsia="zh-CN"/>
        </w:rPr>
        <w:t>产品召回通知单</w:t>
      </w:r>
      <w:r>
        <w:rPr>
          <w:rFonts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12</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820</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u w:val="none"/>
        </w:rPr>
      </w:pPr>
      <w:r>
        <w:rPr>
          <w:rFonts w:hint="eastAsia" w:ascii="仿宋_GB2312" w:eastAsia="仿宋_GB2312" w:cs="仿宋_GB2312"/>
          <w:kern w:val="1"/>
          <w:sz w:val="32"/>
          <w:szCs w:val="32"/>
          <w:u w:val="none"/>
        </w:rPr>
        <w:t>本局认为，</w:t>
      </w:r>
      <w:r>
        <w:rPr>
          <w:rFonts w:hint="eastAsia" w:ascii="Times New Roman" w:hAnsi="Times New Roman" w:eastAsia="仿宋_GB2312" w:cs="仿宋_GB2312"/>
          <w:sz w:val="32"/>
          <w:szCs w:val="32"/>
          <w:u w:val="none"/>
        </w:rPr>
        <w:t>当事人上述行为违反了《中华人民共和国产品质量法》第十三条第二款“禁止生产、销售不符合保障人体健康和人身、财产安全的标准和要求的工业产品。具体管理办法由国务院规定。”和《中华人民共和国产品质量法》第二十六条第二款第一项“产品质量应当符合下列要求：（一）不存在危及人身、财产安全的不合理的危险，有保障人体健康和人身、财产安全的国家标准、行业标准的，应当符合该标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Times New Roman" w:eastAsia="仿宋_GB2312" w:cs="仿宋_GB2312"/>
          <w:bCs/>
          <w:sz w:val="32"/>
          <w:szCs w:val="32"/>
          <w:u w:val="none"/>
        </w:rPr>
      </w:pPr>
      <w:r>
        <w:rPr>
          <w:rFonts w:hint="eastAsia" w:ascii="仿宋_GB2312" w:hAnsi="仿宋_GB2312" w:eastAsia="仿宋_GB2312" w:cs="仿宋_GB2312"/>
          <w:sz w:val="32"/>
          <w:szCs w:val="40"/>
          <w:u w:val="none"/>
          <w:lang w:eastAsia="zh-CN"/>
        </w:rPr>
        <w:t>当事人</w:t>
      </w:r>
      <w:r>
        <w:rPr>
          <w:rFonts w:hint="eastAsia" w:ascii="仿宋_GB2312" w:hAnsi="仿宋_GB2312" w:eastAsia="仿宋_GB2312" w:cs="仿宋_GB2312"/>
          <w:sz w:val="32"/>
          <w:szCs w:val="40"/>
          <w:u w:val="none"/>
          <w:lang w:val="en-US" w:eastAsia="zh-CN"/>
        </w:rPr>
        <w:t>积极配合执法人员调查，接受询问，提供票据，主动召回产品，及时改正违法行为，应依据《中华人民共和国行政处罚法》第二十七条第一款第（四）项的规定予以减轻处罚。</w:t>
      </w:r>
    </w:p>
    <w:p>
      <w:pPr>
        <w:snapToGrid w:val="0"/>
        <w:spacing w:line="560" w:lineRule="exact"/>
        <w:ind w:firstLine="640" w:firstLineChars="200"/>
        <w:rPr>
          <w:rFonts w:hint="eastAsia" w:ascii="仿宋_GB2312"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w:t>
      </w:r>
      <w:r>
        <w:rPr>
          <w:rFonts w:hint="eastAsia" w:ascii="Times New Roman" w:hAnsi="Times New Roman" w:eastAsia="仿宋_GB2312" w:cs="仿宋_GB2312"/>
          <w:bCs/>
          <w:sz w:val="32"/>
          <w:szCs w:val="32"/>
          <w:u w:val="none"/>
          <w:lang w:val="en-US" w:eastAsia="zh-CN"/>
        </w:rPr>
        <w:t>电动</w:t>
      </w:r>
      <w:r>
        <w:rPr>
          <w:rFonts w:hint="eastAsia" w:ascii="Times New Roman" w:hAnsi="Times New Roman" w:eastAsia="仿宋_GB2312" w:cs="仿宋_GB2312"/>
          <w:bCs/>
          <w:sz w:val="32"/>
          <w:szCs w:val="32"/>
          <w:u w:val="none"/>
        </w:rPr>
        <w:t>自行车行为，并对当事人给予以下行政处罚：</w:t>
      </w:r>
      <w:r>
        <w:rPr>
          <w:rFonts w:hint="eastAsia" w:ascii="仿宋_GB2312" w:eastAsia="仿宋_GB2312" w:cs="仿宋_GB2312"/>
          <w:color w:val="auto"/>
          <w:kern w:val="1"/>
          <w:sz w:val="32"/>
          <w:szCs w:val="32"/>
          <w:u w:val="none"/>
        </w:rPr>
        <w:t>1</w:t>
      </w:r>
      <w:r>
        <w:rPr>
          <w:rFonts w:hint="eastAsia" w:ascii="仿宋_GB2312" w:hAnsi="仿宋_GB2312" w:eastAsia="仿宋_GB2312" w:cs="仿宋_GB2312"/>
          <w:bCs/>
          <w:color w:val="auto"/>
          <w:sz w:val="32"/>
          <w:szCs w:val="32"/>
          <w:u w:val="none"/>
          <w:lang w:val="en-US" w:eastAsia="zh-CN"/>
        </w:rPr>
        <w:t>、</w:t>
      </w:r>
      <w:r>
        <w:rPr>
          <w:rFonts w:hint="eastAsia" w:ascii="仿宋_GB2312" w:hAnsi="仿宋_GB2312" w:eastAsia="仿宋_GB2312" w:cs="仿宋_GB2312"/>
          <w:bCs/>
          <w:color w:val="auto"/>
          <w:sz w:val="32"/>
          <w:szCs w:val="32"/>
          <w:u w:val="none"/>
        </w:rPr>
        <w:t>处违法生产产品货值金额</w:t>
      </w:r>
      <w:r>
        <w:rPr>
          <w:rFonts w:hint="eastAsia" w:ascii="仿宋_GB2312" w:hAnsi="仿宋_GB2312" w:eastAsia="仿宋_GB2312" w:cs="仿宋_GB2312"/>
          <w:bCs/>
          <w:color w:val="auto"/>
          <w:sz w:val="32"/>
          <w:szCs w:val="32"/>
          <w:u w:val="none"/>
          <w:lang w:val="en-US" w:eastAsia="zh-CN"/>
        </w:rPr>
        <w:t>1倍</w:t>
      </w:r>
      <w:r>
        <w:rPr>
          <w:rFonts w:hint="eastAsia" w:ascii="仿宋_GB2312" w:hAnsi="仿宋_GB2312" w:eastAsia="仿宋_GB2312" w:cs="仿宋_GB2312"/>
          <w:bCs/>
          <w:color w:val="auto"/>
          <w:sz w:val="32"/>
          <w:szCs w:val="32"/>
          <w:u w:val="none"/>
        </w:rPr>
        <w:t>的罚款</w:t>
      </w:r>
      <w:r>
        <w:rPr>
          <w:rFonts w:hint="eastAsia" w:ascii="仿宋_GB2312" w:hAnsi="仿宋_GB2312" w:eastAsia="仿宋_GB2312" w:cs="仿宋_GB2312"/>
          <w:color w:val="auto"/>
          <w:sz w:val="32"/>
          <w:szCs w:val="32"/>
          <w:u w:val="none"/>
          <w:lang w:val="en-US" w:eastAsia="zh-CN"/>
        </w:rPr>
        <w:t>7200</w:t>
      </w:r>
      <w:r>
        <w:rPr>
          <w:rFonts w:hint="eastAsia" w:ascii="仿宋_GB2312" w:hAnsi="仿宋_GB2312" w:eastAsia="仿宋_GB2312" w:cs="仿宋_GB2312"/>
          <w:bCs/>
          <w:color w:val="auto"/>
          <w:sz w:val="32"/>
          <w:szCs w:val="32"/>
          <w:u w:val="none"/>
        </w:rPr>
        <w:t>元</w:t>
      </w:r>
      <w:r>
        <w:rPr>
          <w:rFonts w:hint="eastAsia" w:ascii="仿宋_GB2312" w:hAnsi="仿宋_GB2312" w:eastAsia="仿宋_GB2312" w:cs="仿宋_GB2312"/>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12</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日</w:t>
      </w: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FED8A5B"/>
    <w:rsid w:val="45FD2E6B"/>
    <w:rsid w:val="5EFB5E0E"/>
    <w:rsid w:val="760BD9E4"/>
    <w:rsid w:val="7AFD0BCA"/>
    <w:rsid w:val="7FFD4988"/>
    <w:rsid w:val="B8BF65C3"/>
    <w:rsid w:val="BDFD00CE"/>
    <w:rsid w:val="BFDFE897"/>
    <w:rsid w:val="D6CD1E45"/>
    <w:rsid w:val="EBB79272"/>
    <w:rsid w:val="EBF6D4C3"/>
    <w:rsid w:val="F1EFAC02"/>
    <w:rsid w:val="F337B944"/>
    <w:rsid w:val="FFDC0D16"/>
    <w:rsid w:val="FFFEF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1</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2021-08-07T02:58:00Z</dcterms:created>
  <dc:creator>林正禄</dc:creator>
  <cp:lastModifiedBy>admin</cp:lastModifiedBy>
  <cp:lastPrinted>2022-12-01T16:49:00Z</cp:lastPrinted>
  <dcterms:modified xsi:type="dcterms:W3CDTF">2022-12-12T16:09:55Z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