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lang w:val="en-US" w:eastAsia="zh-CN"/>
        </w:rPr>
        <w:t>2022</w:t>
      </w:r>
      <w:r>
        <w:rPr>
          <w:rFonts w:hint="eastAsia" w:ascii="Times New Roman"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878</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kern w:val="1"/>
          <w:sz w:val="32"/>
          <w:szCs w:val="32"/>
          <w:u w:val="none"/>
        </w:rPr>
        <w:t>天津</w:t>
      </w:r>
      <w:r>
        <w:rPr>
          <w:rFonts w:hint="eastAsia" w:ascii="Times New Roman" w:hAnsi="Times New Roman" w:eastAsia="仿宋_GB2312" w:cs="Mongolian Baiti"/>
          <w:kern w:val="1"/>
          <w:sz w:val="32"/>
          <w:szCs w:val="32"/>
          <w:u w:val="none"/>
          <w:lang w:eastAsia="zh-CN"/>
        </w:rPr>
        <w:t>市</w:t>
      </w:r>
      <w:r>
        <w:rPr>
          <w:rFonts w:hint="eastAsia" w:ascii="Times New Roman" w:hAnsi="Times New Roman" w:eastAsia="仿宋_GB2312" w:cs="Mongolian Baiti"/>
          <w:kern w:val="1"/>
          <w:sz w:val="32"/>
          <w:szCs w:val="32"/>
          <w:u w:val="none"/>
        </w:rPr>
        <w:t>龙脉电动自行车有限公司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仿宋_GB2312" w:eastAsia="仿宋_GB2312" w:cs="仿宋_GB2312"/>
          <w:kern w:val="1"/>
          <w:sz w:val="32"/>
          <w:szCs w:val="32"/>
          <w:u w:val="none"/>
        </w:rPr>
        <w:t>91120110797259414M</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仿宋_GB2312"/>
          <w:sz w:val="32"/>
          <w:szCs w:val="32"/>
          <w:u w:val="none"/>
        </w:rPr>
        <w:t>天津市北辰区西堤头镇西堤头村刘东路东侧宏园小区西侧</w:t>
      </w:r>
      <w:r>
        <w:rPr>
          <w:rFonts w:hint="eastAsia" w:ascii="仿宋_GB2312" w:hAnsi="仿宋_GB2312" w:eastAsia="仿宋_GB2312" w:cs="仿宋_GB2312"/>
          <w:kern w:val="1"/>
          <w:sz w:val="32"/>
          <w:szCs w:val="32"/>
          <w:u w:val="none"/>
        </w:rPr>
        <w:t>50</w:t>
      </w:r>
      <w:r>
        <w:rPr>
          <w:rFonts w:hint="eastAsia" w:ascii="Times New Roman" w:hAnsi="Times New Roman" w:eastAsia="仿宋_GB2312" w:cs="仿宋_GB2312"/>
          <w:sz w:val="32"/>
          <w:szCs w:val="32"/>
          <w:u w:val="none"/>
        </w:rPr>
        <w:t>米</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仿宋"/>
          <w:sz w:val="32"/>
          <w:szCs w:val="32"/>
          <w:u w:val="none"/>
          <w:lang w:eastAsia="zh-CN"/>
        </w:rPr>
        <w:t>赵付民</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default" w:ascii="Times New Roman" w:hAnsi="Times New Roman" w:eastAsia="仿宋_GB2312" w:cs="Mongolian Baiti"/>
          <w:kern w:val="1"/>
          <w:sz w:val="32"/>
          <w:szCs w:val="32"/>
          <w:u w:val="none"/>
          <w:lang w:val="en"/>
        </w:rPr>
        <w:t>/</w:t>
      </w:r>
      <w:r>
        <w:rPr>
          <w:rFonts w:hint="eastAsia" w:ascii="仿宋_GB2312" w:hAnsi="仿宋" w:eastAsia="仿宋_GB2312" w:cs="仿宋"/>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rPr>
          <w:rFonts w:hint="eastAsia" w:ascii="Times New Roman" w:eastAsia="仿宋_GB2312" w:cs="仿宋_GB2312"/>
          <w:strike/>
          <w:color w:val="000000"/>
          <w:u w:val="none"/>
          <w:shd w:val="clear" w:color="FFFFFF" w:fill="D9D9D9"/>
        </w:rPr>
      </w:pPr>
      <w:r>
        <w:rPr>
          <w:rFonts w:hint="eastAsia" w:ascii="仿宋_GB2312" w:hAnsi="仿宋_GB2312" w:eastAsia="仿宋_GB2312" w:cs="仿宋_GB2312"/>
          <w:bCs/>
          <w:sz w:val="32"/>
          <w:szCs w:val="32"/>
          <w:u w:val="none"/>
          <w:lang w:val="en-US" w:eastAsia="zh-CN"/>
        </w:rPr>
        <w:t xml:space="preserve">    2022年9月7日，我局接到天津市市场监督管理委员会寄来的产品质量监督抽查检验报告（NO：2241169），报告显示当事人生产的生产日期为2022年6月7日、商标为新星、规格型号为TDT166Z的电动自行车在天津市市场监督管理委员会组织的监督抽查中，经天津市产品质量监督检测技术研究院自行车研究中心检验，车速限值、反射器、照明项目不符合GB17761-2018标准，依据《天津市电动自行车产品质量监督抽查实施细则》，判定为不合格。我局执法人员于2022年9月8日对当事人进行执法检查，当事人确认该批次抽检不合格产品为当事人生产，并对检验报告结果无异议。现场未发现上述批次不合格产品。当事人因涉嫌生产销售不符合保障人体健康和人身财产安全的国家标准的电动自行车行为，2022年9月8日经批准予以立案。</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仿宋_GB2312" w:hAnsi="仿宋_GB2312" w:eastAsia="仿宋_GB2312" w:cs="仿宋_GB2312"/>
          <w:kern w:val="1"/>
          <w:u w:val="none"/>
        </w:rPr>
        <w:t>经查，</w:t>
      </w:r>
      <w:r>
        <w:rPr>
          <w:rFonts w:hint="eastAsia" w:ascii="仿宋_GB2312" w:hAnsi="仿宋_GB2312" w:eastAsia="仿宋_GB2312" w:cs="仿宋_GB2312"/>
          <w:sz w:val="32"/>
          <w:szCs w:val="32"/>
          <w:u w:val="none"/>
        </w:rPr>
        <w:t>当事人2021年6月7日生产商标为新星、规格型号为TDT166Z的电动自行车在天津市市场监督管理委员会开展的监督抽查中，经天津市产品质量监督检测技术研究院自行车研究中心检验，车速限值、反射器、照明项目不符合GB17761-2018标准，依据《天津市电动自行车产品质量监督抽查实施细则》，判定为不合格。当事人对上述检验结果无异议，在复检期内未提出复检申请。上述行为满足生产销售不符合保障人体健康和人身财产安全的国家标准的电动自行车行为的构成要件。当事人共生产上述规格型号电动自行车10辆，销售0辆，拆解10辆，货值金额6990元，违法所得0元。</w:t>
      </w:r>
    </w:p>
    <w:p>
      <w:pPr>
        <w:pStyle w:val="2"/>
        <w:tabs>
          <w:tab w:val="left" w:pos="8285"/>
        </w:tabs>
        <w:spacing w:line="520" w:lineRule="exact"/>
        <w:ind w:firstLine="640" w:firstLineChars="200"/>
        <w:rPr>
          <w:rFonts w:hint="eastAsia" w:ascii="Times New Roman" w:eastAsia="仿宋_GB2312" w:cs="Mongolian Baiti"/>
          <w:kern w:val="1"/>
          <w:u w:val="none"/>
        </w:rPr>
      </w:pPr>
      <w:r>
        <w:rPr>
          <w:rFonts w:hint="eastAsia" w:ascii="Times New Roman" w:eastAsia="仿宋_GB2312" w:cs="Mongolian Baiti"/>
          <w:kern w:val="1"/>
          <w:u w:val="none"/>
        </w:rPr>
        <w:t>上述事实，主要有以下证据证明：</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1.当事人的营业执照复印件、强制性产品认证证书复印件、法定代表人身份证复印件，证明当事人的主体资格；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2.《检验报告》1份（报告编号：NO：2241169），证明当事人生产销售的电动自行车被判定为不合格产品；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3. 产品生产执行标准GB 17761-2018《电动自行车通用技术条件》文本的首页、标准适用范围、标准前言、标准关键项目指标要求打印件，证明当事人涉案产品适用的判定依据是国家颁布的现行有效的标准, 所查产品与标准调整的产品范围一致且当事人涉案产品执行标准关键项目指标要求涉及到人体健康和人身财产安全；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4. 对天津</w:t>
      </w:r>
      <w:r>
        <w:rPr>
          <w:rFonts w:hint="eastAsia" w:ascii="仿宋_GB2312" w:hAnsi="仿宋_GB2312" w:eastAsia="仿宋_GB2312" w:cs="仿宋_GB2312"/>
          <w:kern w:val="1"/>
          <w:u w:val="none"/>
          <w:lang w:eastAsia="zh-CN"/>
        </w:rPr>
        <w:t>市</w:t>
      </w:r>
      <w:r>
        <w:rPr>
          <w:rFonts w:hint="eastAsia" w:ascii="仿宋_GB2312" w:hAnsi="仿宋_GB2312" w:eastAsia="仿宋_GB2312" w:cs="仿宋_GB2312"/>
          <w:kern w:val="1"/>
          <w:u w:val="none"/>
        </w:rPr>
        <w:t xml:space="preserve">龙脉电动自行车有限公司法定代表人赵付民的询问笔录，证明当事人生产销售不符合保障人体健康和人身财产安全的国家标准的电动自行车的事实情节；                                                   </w:t>
      </w:r>
    </w:p>
    <w:p>
      <w:pPr>
        <w:pStyle w:val="2"/>
        <w:tabs>
          <w:tab w:val="left" w:pos="8285"/>
        </w:tabs>
        <w:spacing w:line="520" w:lineRule="exact"/>
        <w:ind w:firstLine="640" w:firstLineChars="200"/>
        <w:rPr>
          <w:rFonts w:hint="eastAsia" w:ascii="仿宋_GB2312" w:hAnsi="仿宋_GB2312" w:eastAsia="仿宋_GB2312" w:cs="仿宋_GB2312"/>
          <w:kern w:val="1"/>
          <w:u w:val="none"/>
        </w:rPr>
      </w:pPr>
      <w:r>
        <w:rPr>
          <w:rFonts w:hint="eastAsia" w:ascii="仿宋_GB2312" w:hAnsi="仿宋_GB2312" w:eastAsia="仿宋_GB2312" w:cs="仿宋_GB2312"/>
          <w:kern w:val="1"/>
          <w:u w:val="none"/>
        </w:rPr>
        <w:t xml:space="preserve">5．现场笔录、入库单、成本核算表、货值金额和违法所得计算表，证明本案货值金额及违法所得。                                                   </w:t>
      </w:r>
    </w:p>
    <w:p>
      <w:pPr>
        <w:pStyle w:val="2"/>
        <w:tabs>
          <w:tab w:val="left" w:pos="8285"/>
        </w:tabs>
        <w:spacing w:line="520" w:lineRule="exact"/>
        <w:ind w:firstLine="640" w:firstLineChars="200"/>
        <w:rPr>
          <w:rFonts w:hint="eastAsia" w:ascii="仿宋_GB2312" w:hAnsi="仿宋_GB2312" w:eastAsia="仿宋_GB2312" w:cs="仿宋_GB2312"/>
          <w:color w:val="231F20"/>
          <w:u w:val="none"/>
          <w:lang w:val="en-US" w:eastAsia="zh-CN"/>
        </w:rPr>
      </w:pPr>
      <w:r>
        <w:rPr>
          <w:rFonts w:hint="eastAsia" w:ascii="仿宋_GB2312" w:hAnsi="仿宋_GB2312" w:eastAsia="仿宋_GB2312" w:cs="仿宋_GB2312"/>
          <w:kern w:val="1"/>
          <w:u w:val="none"/>
        </w:rPr>
        <w:t xml:space="preserve">6、拆解照片，证明当事人积极改正违法行为的事实。                      </w:t>
      </w:r>
      <w:r>
        <w:rPr>
          <w:rFonts w:hint="eastAsia" w:ascii="仿宋_GB2312" w:hAnsi="仿宋_GB2312" w:eastAsia="仿宋_GB2312" w:cs="仿宋_GB2312"/>
          <w:kern w:val="1"/>
          <w:u w:val="none"/>
          <w:lang w:val="en-US" w:eastAsia="zh-CN"/>
        </w:rPr>
        <w:t xml:space="preserve"> </w:t>
      </w:r>
    </w:p>
    <w:p>
      <w:pPr>
        <w:pStyle w:val="2"/>
        <w:tabs>
          <w:tab w:val="left" w:pos="8405"/>
        </w:tabs>
        <w:spacing w:line="520" w:lineRule="exact"/>
        <w:ind w:firstLine="627" w:firstLineChars="196"/>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日依法向当事人送达了《行政处罚听证告知书》（津辰市监罚告〔202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878</w:t>
      </w:r>
      <w:r>
        <w:rPr>
          <w:rFonts w:hint="eastAsia" w:ascii="仿宋_GB2312" w:hAnsi="仿宋_GB2312" w:eastAsia="仿宋_GB2312" w:cs="仿宋_GB2312"/>
          <w:color w:val="000000"/>
          <w:sz w:val="32"/>
          <w:szCs w:val="32"/>
          <w:u w:val="none"/>
        </w:rPr>
        <w:t>号），当事人未提出陈述、申辩意见，且未申请听证。</w:t>
      </w:r>
    </w:p>
    <w:p>
      <w:pPr>
        <w:spacing w:line="500" w:lineRule="exact"/>
        <w:ind w:firstLine="640" w:firstLineChars="200"/>
        <w:rPr>
          <w:rFonts w:hint="eastAsia" w:ascii="仿宋_GB2312" w:hAnsi="仿宋_GB2312" w:eastAsia="仿宋_GB2312" w:cs="仿宋_GB2312"/>
          <w:bCs/>
          <w:sz w:val="32"/>
          <w:szCs w:val="32"/>
          <w:u w:val="none"/>
          <w:lang w:val="zh-CN" w:eastAsia="zh-CN"/>
        </w:rPr>
      </w:pPr>
      <w:r>
        <w:rPr>
          <w:rFonts w:hint="eastAsia" w:ascii="Times New Roman" w:hAnsi="Times New Roman" w:eastAsia="仿宋_GB2312" w:cs="仿宋_GB2312"/>
          <w:sz w:val="32"/>
          <w:szCs w:val="32"/>
          <w:u w:val="none"/>
        </w:rPr>
        <w:t>本局认为，</w:t>
      </w:r>
      <w:r>
        <w:rPr>
          <w:rFonts w:hint="eastAsia" w:ascii="仿宋_GB2312" w:hAnsi="仿宋_GB2312" w:eastAsia="仿宋_GB2312" w:cs="仿宋_GB2312"/>
          <w:bCs/>
          <w:sz w:val="32"/>
          <w:szCs w:val="32"/>
          <w:u w:val="none"/>
          <w:lang w:val="zh-CN" w:eastAsia="zh-CN"/>
        </w:rPr>
        <w:t>本局以为鉴于当事人能够积极配合执法人员调查取证，积极提供相关单据，积极进行整改，符合《天津市市场和质量监督管理委员会行政处罚裁量适用规则》第十三条第五项“当事人有下列情形之一的，应当依法从轻或者减轻行政处罚：积极配合行政机关检查，如实提供有关账册、协议、单据、文件、记录、业务函件和其他资料以及积极改正违法行为的；”的规定，予以减轻处罚。</w:t>
      </w:r>
    </w:p>
    <w:p>
      <w:pPr>
        <w:pStyle w:val="2"/>
        <w:tabs>
          <w:tab w:val="left" w:pos="9060"/>
        </w:tabs>
        <w:spacing w:line="520" w:lineRule="exact"/>
        <w:rPr>
          <w:rFonts w:hint="eastAsia" w:ascii="仿宋_GB2312" w:hAnsi="仿宋_GB2312"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综上，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r>
        <w:rPr>
          <w:rFonts w:hint="eastAsia" w:ascii="Times New Roman" w:eastAsia="仿宋_GB2312" w:cs="Mongolian Baiti"/>
          <w:kern w:val="1"/>
          <w:u w:val="none"/>
          <w:lang w:eastAsia="zh-CN"/>
        </w:rPr>
        <w:t>，</w:t>
      </w: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电动自行车行为，并对当事人给予以下行政处罚：罚款</w:t>
      </w:r>
      <w:r>
        <w:rPr>
          <w:rFonts w:hint="eastAsia" w:ascii="仿宋_GB2312" w:hAnsi="仿宋_GB2312" w:eastAsia="仿宋_GB2312" w:cs="仿宋_GB2312"/>
          <w:bCs/>
          <w:sz w:val="32"/>
          <w:szCs w:val="32"/>
          <w:u w:val="none"/>
          <w:lang w:val="en-US" w:eastAsia="zh-CN"/>
        </w:rPr>
        <w:t>6990</w:t>
      </w:r>
      <w:r>
        <w:rPr>
          <w:rFonts w:hint="eastAsia" w:ascii="Times New Roman" w:hAnsi="Times New Roman" w:eastAsia="仿宋_GB2312" w:cs="仿宋_GB2312"/>
          <w:bCs/>
          <w:sz w:val="32"/>
          <w:szCs w:val="32"/>
          <w:u w:val="none"/>
        </w:rPr>
        <w:t xml:space="preserve">元。  </w:t>
      </w:r>
      <w:r>
        <w:rPr>
          <w:rFonts w:hint="eastAsia" w:ascii="Times New Roman" w:hAnsi="Times New Roman" w:eastAsia="仿宋_GB2312" w:cs="仿宋_GB2312"/>
          <w:sz w:val="32"/>
          <w:szCs w:val="32"/>
          <w:u w:val="none"/>
        </w:rPr>
        <w:t xml:space="preserve">                 </w:t>
      </w:r>
    </w:p>
    <w:p>
      <w:pPr>
        <w:spacing w:line="500" w:lineRule="exact"/>
        <w:ind w:firstLine="42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u w:val="none"/>
        </w:rPr>
        <w:t xml:space="preserve">  </w:t>
      </w:r>
      <w:r>
        <w:rPr>
          <w:rFonts w:hint="eastAsia" w:ascii="Times New Roman" w:hAnsi="Times New Roman" w:eastAsia="仿宋_GB2312" w:cs="仿宋_GB2312"/>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_GB2312"/>
          <w:color w:val="000000"/>
          <w:sz w:val="32"/>
          <w:szCs w:val="32"/>
          <w:u w:val="none"/>
          <w:lang w:val="en"/>
        </w:rPr>
        <w:t xml:space="preserve">   </w:t>
      </w:r>
      <w:r>
        <w:rPr>
          <w:rFonts w:hint="eastAsia" w:ascii="Times New Roman" w:hAnsi="Times New Roman" w:eastAsia="仿宋_GB2312" w:cs="仿宋_GB2312"/>
          <w:color w:val="000000"/>
          <w:sz w:val="32"/>
          <w:szCs w:val="32"/>
          <w:u w:val="none"/>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280" w:firstLine="600"/>
        <w:jc w:val="center"/>
        <w:rPr>
          <w:rFonts w:ascii="仿宋_GB2312" w:hAnsi="Times New Roman" w:eastAsia="仿宋_GB2312" w:cs="仿宋"/>
          <w:color w:val="000000"/>
          <w:sz w:val="32"/>
          <w:szCs w:val="32"/>
          <w:u w:val="none"/>
        </w:rPr>
      </w:pPr>
      <w:r>
        <w:rPr>
          <w:rFonts w:hint="default" w:ascii="仿宋_GB2312" w:hAnsi="Times New Roman" w:eastAsia="仿宋_GB2312" w:cs="仿宋"/>
          <w:color w:val="000000"/>
          <w:sz w:val="32"/>
          <w:szCs w:val="32"/>
          <w:u w:val="none"/>
          <w:lang w:val="en"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 xml:space="preserve"> 2022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 xml:space="preserve">日    </w:t>
      </w:r>
    </w:p>
    <w:p>
      <w:pPr>
        <w:widowControl/>
        <w:snapToGrid w:val="0"/>
        <w:spacing w:line="520" w:lineRule="exact"/>
        <w:ind w:right="640"/>
        <w:jc w:val="center"/>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both"/>
        <w:rPr>
          <w:rFonts w:hint="eastAsia" w:ascii="Times New Roman" w:hAnsi="Times New Roman" w:eastAsia="仿宋_GB2312" w:cs="Mongolian Baiti"/>
          <w:color w:val="000000"/>
          <w:sz w:val="32"/>
          <w:szCs w:val="32"/>
          <w:u w:val="none"/>
          <w:lang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0DBFA137"/>
    <w:rsid w:val="157B90E1"/>
    <w:rsid w:val="1BFF5E18"/>
    <w:rsid w:val="2F6BFCB2"/>
    <w:rsid w:val="377A82CA"/>
    <w:rsid w:val="3BEFCDDA"/>
    <w:rsid w:val="3F7E65AA"/>
    <w:rsid w:val="4EFD9F05"/>
    <w:rsid w:val="56F751B4"/>
    <w:rsid w:val="6DF5C5A1"/>
    <w:rsid w:val="72179206"/>
    <w:rsid w:val="73F90FDE"/>
    <w:rsid w:val="74EFF815"/>
    <w:rsid w:val="77EE9060"/>
    <w:rsid w:val="7B296B26"/>
    <w:rsid w:val="7DE47D3E"/>
    <w:rsid w:val="ADF7BCAD"/>
    <w:rsid w:val="BFEB080B"/>
    <w:rsid w:val="CDD93110"/>
    <w:rsid w:val="EB8F69A5"/>
    <w:rsid w:val="F3BC9E39"/>
    <w:rsid w:val="F5FC6F93"/>
    <w:rsid w:val="F7B78357"/>
    <w:rsid w:val="F7FF6FFE"/>
    <w:rsid w:val="F9BF61AF"/>
    <w:rsid w:val="FAFE2B10"/>
    <w:rsid w:val="FCBFF616"/>
    <w:rsid w:val="FF0F4CB0"/>
    <w:rsid w:val="FF3DCFF2"/>
    <w:rsid w:val="FF59D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2</TotalTime>
  <ScaleCrop>false</ScaleCrop>
  <LinksUpToDate>false</LinksUpToDate>
  <CharactersWithSpaces>1705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2021-07-31T19:11:00Z</dcterms:created>
  <dc:creator>王子琦</dc:creator>
  <cp:lastModifiedBy>admin</cp:lastModifiedBy>
  <cp:lastPrinted>2022-04-28T18:48:00Z</cp:lastPrinted>
  <dcterms:modified xsi:type="dcterms:W3CDTF">2022-11-11T15:32:12Z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