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68</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Times New Roman" w:eastAsia="仿宋_GB2312" w:cs="仿宋_GB2312"/>
          <w:sz w:val="32"/>
          <w:szCs w:val="32"/>
          <w:u w:val="none"/>
          <w:lang w:eastAsia="zh-CN"/>
        </w:rPr>
        <w:t>韩会芹</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lang w:eastAsia="zh-CN"/>
        </w:rPr>
        <w:t>身份证号：</w:t>
      </w:r>
      <w:r>
        <w:rPr>
          <w:rFonts w:hint="eastAsia" w:ascii="仿宋_GB2312" w:hAnsi="Times New Roman" w:eastAsia="仿宋_GB2312" w:cs="仿宋_GB2312"/>
          <w:sz w:val="32"/>
          <w:szCs w:val="32"/>
          <w:u w:val="none"/>
          <w:lang w:val="en-US" w:eastAsia="zh-CN"/>
        </w:rPr>
        <w:t>/</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kern w:val="1"/>
          <w:sz w:val="32"/>
          <w:szCs w:val="32"/>
          <w:u w:val="none"/>
        </w:rPr>
        <w:t>住所（住址）：</w:t>
      </w:r>
      <w:r>
        <w:rPr>
          <w:rFonts w:hint="eastAsia" w:ascii="仿宋_GB2312" w:hAnsi="仿宋_GB2312" w:eastAsia="仿宋_GB2312" w:cs="仿宋_GB2312"/>
          <w:kern w:val="1"/>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Cs/>
          <w:sz w:val="32"/>
          <w:szCs w:val="32"/>
          <w:u w:val="none"/>
          <w:lang w:val="en-US"/>
        </w:rPr>
      </w:pPr>
      <w:r>
        <w:rPr>
          <w:rFonts w:hint="eastAsia" w:ascii="仿宋_GB2312" w:hAnsi="仿宋_GB2312" w:eastAsia="仿宋_GB2312" w:cs="仿宋_GB2312"/>
          <w:bCs/>
          <w:sz w:val="32"/>
          <w:szCs w:val="32"/>
          <w:u w:val="none"/>
        </w:rPr>
        <w:t>案件来源、调查经过及采取行政强制措施的情况：</w:t>
      </w:r>
      <w:r>
        <w:rPr>
          <w:rFonts w:hint="eastAsia" w:ascii="仿宋_GB2312" w:hAnsi="仿宋_GB2312" w:eastAsia="仿宋_GB2312" w:cs="仿宋_GB2312"/>
          <w:bCs/>
          <w:sz w:val="32"/>
          <w:szCs w:val="32"/>
          <w:u w:val="none"/>
          <w:lang w:val="en-US" w:eastAsia="zh-CN"/>
        </w:rPr>
        <w:t>2022年</w:t>
      </w:r>
      <w:r>
        <w:rPr>
          <w:rFonts w:hint="eastAsia" w:ascii="仿宋_GB2312" w:hAnsi="仿宋_GB2312" w:eastAsia="仿宋_GB2312" w:cs="仿宋_GB2312"/>
          <w:bCs/>
          <w:sz w:val="32"/>
          <w:szCs w:val="32"/>
          <w:u w:val="none"/>
          <w:lang w:val="en" w:eastAsia="zh-CN"/>
        </w:rPr>
        <w:t>5</w:t>
      </w:r>
      <w:r>
        <w:rPr>
          <w:rFonts w:hint="eastAsia" w:ascii="仿宋_GB2312" w:hAnsi="仿宋_GB2312" w:eastAsia="仿宋_GB2312" w:cs="仿宋_GB2312"/>
          <w:bCs/>
          <w:sz w:val="32"/>
          <w:szCs w:val="32"/>
          <w:u w:val="none"/>
          <w:lang w:val="en-US" w:eastAsia="zh-CN"/>
        </w:rPr>
        <w:t>月2日，我局执法人员对位于</w:t>
      </w:r>
      <w:r>
        <w:rPr>
          <w:rFonts w:hint="eastAsia" w:ascii="仿宋_GB2312" w:hAnsi="仿宋_GB2312" w:eastAsia="仿宋_GB2312" w:cs="仿宋_GB2312"/>
          <w:bCs/>
          <w:sz w:val="32"/>
          <w:szCs w:val="32"/>
          <w:u w:val="none"/>
          <w:lang w:eastAsia="zh-CN"/>
        </w:rPr>
        <w:t>天津市北辰区双口镇红育苗圃坊进行检查发现，该地现场存放有已灌装的“青光缘”饮用水</w:t>
      </w:r>
      <w:r>
        <w:rPr>
          <w:rFonts w:hint="eastAsia" w:ascii="仿宋_GB2312" w:hAnsi="仿宋_GB2312" w:eastAsia="仿宋_GB2312" w:cs="仿宋_GB2312"/>
          <w:bCs/>
          <w:sz w:val="32"/>
          <w:szCs w:val="32"/>
          <w:u w:val="none"/>
          <w:lang w:val="en-US" w:eastAsia="zh-CN"/>
        </w:rPr>
        <w:t>452箱，已灌装的桶装水83桶，未灌装的空瓶2万瓶，未灌装的空桶50桶。水罐2件，过滤器4台，封装机2台。经初步核查，杨玉芳在该地生产饮用水，无法提供食品生产许可。杨玉芳涉嫌未取得食品生产许可从事饮用水生产。执法人员依法对当事人现场生产饮用水的工具、包材和成品予以扣押，并下达了实施行政强制决定书（津辰市监综强制[2022]32号）。因案件需要进一步调查，执法人员于2022年6月1日下达了延长行政强制措施决定书（津辰市监综延强[2022]32号）。2022年5月2日，执法人员报经分管局领导批准，对杨玉芳的行为予以立案调查。本案于2022年6月2日调查终结。</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调查认定的事实：</w:t>
      </w:r>
      <w:r>
        <w:rPr>
          <w:rFonts w:hint="eastAsia" w:ascii="仿宋_GB2312" w:hAnsi="仿宋_GB2312" w:eastAsia="仿宋_GB2312" w:cs="仿宋_GB2312"/>
          <w:bCs/>
          <w:sz w:val="32"/>
          <w:szCs w:val="32"/>
          <w:u w:val="none"/>
          <w:lang w:eastAsia="zh-CN"/>
        </w:rPr>
        <w:t>经调查，负责该地生产饮用水的当事人为韩会芹，并非杨玉芳。韩会芹于</w:t>
      </w:r>
      <w:r>
        <w:rPr>
          <w:rFonts w:hint="eastAsia" w:ascii="仿宋_GB2312" w:hAnsi="仿宋_GB2312" w:eastAsia="仿宋_GB2312" w:cs="仿宋_GB2312"/>
          <w:bCs/>
          <w:sz w:val="32"/>
          <w:szCs w:val="32"/>
          <w:u w:val="none"/>
        </w:rPr>
        <w:t>20</w:t>
      </w:r>
      <w:r>
        <w:rPr>
          <w:rFonts w:hint="eastAsia" w:ascii="仿宋_GB2312" w:hAnsi="仿宋_GB2312" w:eastAsia="仿宋_GB2312" w:cs="仿宋_GB2312"/>
          <w:bCs/>
          <w:sz w:val="32"/>
          <w:szCs w:val="32"/>
          <w:u w:val="none"/>
          <w:lang w:val="en-US" w:eastAsia="zh-CN"/>
        </w:rPr>
        <w:t>18</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lang w:val="en-US" w:eastAsia="zh-CN"/>
        </w:rPr>
        <w:t>6</w:t>
      </w:r>
      <w:r>
        <w:rPr>
          <w:rFonts w:hint="eastAsia" w:ascii="仿宋_GB2312" w:hAnsi="仿宋_GB2312" w:eastAsia="仿宋_GB2312" w:cs="仿宋_GB2312"/>
          <w:bCs/>
          <w:sz w:val="32"/>
          <w:szCs w:val="32"/>
          <w:u w:val="none"/>
        </w:rPr>
        <w:t>月</w:t>
      </w:r>
      <w:r>
        <w:rPr>
          <w:rFonts w:hint="eastAsia" w:ascii="仿宋_GB2312" w:hAnsi="仿宋_GB2312" w:eastAsia="仿宋_GB2312" w:cs="仿宋_GB2312"/>
          <w:bCs/>
          <w:sz w:val="32"/>
          <w:szCs w:val="32"/>
          <w:u w:val="none"/>
          <w:lang w:eastAsia="zh-CN"/>
        </w:rPr>
        <w:t>开始在天津市北辰区双口镇红育苗圃坊</w:t>
      </w:r>
      <w:r>
        <w:rPr>
          <w:rFonts w:hint="eastAsia" w:ascii="仿宋_GB2312" w:hAnsi="仿宋_GB2312" w:eastAsia="仿宋_GB2312" w:cs="仿宋_GB2312"/>
          <w:bCs/>
          <w:sz w:val="32"/>
          <w:szCs w:val="32"/>
          <w:u w:val="none"/>
          <w:lang w:val="en-US" w:eastAsia="zh-CN"/>
        </w:rPr>
        <w:t>生产饮用水，并将生产的饮用水销售给当事人熟识的居士。销售价格为“青光缘”瓶装饮用水（500ml；350ml，12瓶/箱）为12元/箱，桶装水5元/桶。截至现场检查当日，当事人韩会芹在此地生产饮用水，未办理食品生产许可证。当事人的行为满足</w:t>
      </w:r>
      <w:bookmarkStart w:id="0" w:name="_GoBack"/>
      <w:r>
        <w:rPr>
          <w:rFonts w:hint="eastAsia" w:ascii="仿宋_GB2312" w:hAnsi="仿宋_GB2312" w:eastAsia="仿宋_GB2312" w:cs="仿宋_GB2312"/>
          <w:bCs/>
          <w:sz w:val="32"/>
          <w:szCs w:val="32"/>
          <w:u w:val="none"/>
          <w:lang w:val="en-US" w:eastAsia="zh-CN"/>
        </w:rPr>
        <w:t>未取得食品生产许可从事饮用水生产</w:t>
      </w:r>
      <w:bookmarkEnd w:id="0"/>
      <w:r>
        <w:rPr>
          <w:rFonts w:hint="eastAsia" w:ascii="仿宋_GB2312" w:hAnsi="仿宋_GB2312" w:eastAsia="仿宋_GB2312" w:cs="仿宋_GB2312"/>
          <w:bCs/>
          <w:sz w:val="32"/>
          <w:szCs w:val="32"/>
          <w:u w:val="none"/>
          <w:lang w:val="en-US" w:eastAsia="zh-CN"/>
        </w:rPr>
        <w:t>的构成要件。</w:t>
      </w:r>
      <w:r>
        <w:rPr>
          <w:rFonts w:hint="eastAsia" w:ascii="仿宋_GB2312" w:hAnsi="仿宋_GB2312" w:eastAsia="仿宋_GB2312" w:cs="仿宋_GB2312"/>
          <w:bCs/>
          <w:sz w:val="32"/>
          <w:szCs w:val="32"/>
          <w:u w:val="none"/>
          <w:lang w:eastAsia="zh-CN"/>
        </w:rPr>
        <w:t>本案的货值金额</w:t>
      </w:r>
      <w:r>
        <w:rPr>
          <w:rFonts w:hint="eastAsia" w:ascii="仿宋_GB2312" w:hAnsi="仿宋_GB2312" w:eastAsia="仿宋_GB2312" w:cs="仿宋_GB2312"/>
          <w:bCs/>
          <w:sz w:val="32"/>
          <w:szCs w:val="32"/>
          <w:u w:val="none"/>
          <w:lang w:val="en-US" w:eastAsia="zh-CN"/>
        </w:rPr>
        <w:t>5839元，因当事人销售情况无法查证，违法所得无法计算。</w:t>
      </w:r>
      <w:r>
        <w:rPr>
          <w:rFonts w:hint="eastAsia" w:ascii="仿宋_GB2312" w:hAnsi="仿宋_GB2312"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上</w:t>
      </w:r>
      <w:r>
        <w:rPr>
          <w:rFonts w:hint="eastAsia" w:ascii="仿宋_GB2312" w:hAnsi="仿宋_GB2312" w:eastAsia="仿宋_GB2312" w:cs="仿宋_GB2312"/>
          <w:color w:val="000000"/>
          <w:sz w:val="32"/>
          <w:szCs w:val="32"/>
          <w:u w:val="none"/>
          <w:lang w:eastAsia="zh-CN"/>
        </w:rPr>
        <w:t>述</w:t>
      </w:r>
      <w:r>
        <w:rPr>
          <w:rFonts w:hint="eastAsia" w:ascii="仿宋_GB2312" w:hAnsi="仿宋_GB2312" w:eastAsia="仿宋_GB2312" w:cs="仿宋_GB2312"/>
          <w:color w:val="000000"/>
          <w:sz w:val="32"/>
          <w:szCs w:val="32"/>
          <w:u w:val="none"/>
        </w:rPr>
        <w:t>事实，主要有以下证据证明：</w:t>
      </w:r>
    </w:p>
    <w:p>
      <w:pPr>
        <w:spacing w:line="560" w:lineRule="exact"/>
        <w:ind w:firstLine="640" w:firstLineChars="200"/>
        <w:jc w:val="left"/>
        <w:rPr>
          <w:rFonts w:ascii="仿宋_GB2312" w:hAnsi="Times New Roman" w:eastAsia="仿宋_GB2312" w:cs="仿宋_GB2312"/>
          <w:sz w:val="32"/>
          <w:szCs w:val="32"/>
          <w:u w:val="none"/>
        </w:rPr>
      </w:pPr>
      <w:r>
        <w:rPr>
          <w:rFonts w:hint="eastAsia" w:ascii="仿宋_GB2312" w:hAnsi="Times New Roman" w:eastAsia="仿宋_GB2312" w:cs="仿宋_GB2312"/>
          <w:sz w:val="32"/>
          <w:szCs w:val="32"/>
          <w:u w:val="none"/>
        </w:rPr>
        <w:t>1</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sz w:val="32"/>
          <w:szCs w:val="32"/>
          <w:u w:val="none"/>
        </w:rPr>
        <w:t>当事人</w:t>
      </w:r>
      <w:r>
        <w:rPr>
          <w:rFonts w:hint="eastAsia" w:ascii="仿宋_GB2312" w:hAnsi="Times New Roman" w:eastAsia="仿宋_GB2312" w:cs="仿宋_GB2312"/>
          <w:sz w:val="32"/>
          <w:szCs w:val="32"/>
          <w:u w:val="none"/>
          <w:lang w:eastAsia="zh-CN"/>
        </w:rPr>
        <w:t>身份证复印件；</w:t>
      </w:r>
      <w:r>
        <w:rPr>
          <w:rFonts w:hint="eastAsia" w:ascii="仿宋_GB2312" w:hAnsi="Times New Roman" w:eastAsia="仿宋_GB2312" w:cs="仿宋_GB2312"/>
          <w:sz w:val="32"/>
          <w:szCs w:val="32"/>
          <w:u w:val="none"/>
        </w:rPr>
        <w:t>2</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sz w:val="32"/>
          <w:szCs w:val="32"/>
          <w:u w:val="none"/>
        </w:rPr>
        <w:t>现场检查笔录，现场检查照片</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sz w:val="32"/>
          <w:szCs w:val="32"/>
          <w:u w:val="none"/>
        </w:rPr>
        <w:t xml:space="preserve">                                    </w:t>
      </w:r>
    </w:p>
    <w:p>
      <w:pPr>
        <w:spacing w:line="560" w:lineRule="exact"/>
        <w:jc w:val="left"/>
        <w:rPr>
          <w:rFonts w:hint="eastAsia" w:ascii="仿宋_GB2312" w:hAnsi="Times New Roman" w:eastAsia="仿宋_GB2312" w:cs="仿宋_GB2312"/>
          <w:bCs/>
          <w:sz w:val="32"/>
          <w:szCs w:val="32"/>
          <w:u w:val="none"/>
        </w:rPr>
      </w:pPr>
      <w:r>
        <w:rPr>
          <w:rFonts w:hint="eastAsia" w:ascii="仿宋_GB2312" w:hAnsi="Times New Roman" w:eastAsia="仿宋_GB2312" w:cs="仿宋_GB2312"/>
          <w:sz w:val="32"/>
          <w:szCs w:val="32"/>
          <w:u w:val="none"/>
        </w:rPr>
        <w:t>3</w:t>
      </w:r>
      <w:r>
        <w:rPr>
          <w:rFonts w:hint="eastAsia" w:ascii="仿宋_GB2312" w:hAnsi="Times New Roman" w:eastAsia="仿宋_GB2312" w:cs="仿宋_GB2312"/>
          <w:sz w:val="32"/>
          <w:szCs w:val="32"/>
          <w:u w:val="none"/>
          <w:lang w:eastAsia="zh-CN"/>
        </w:rPr>
        <w:t>、对当事人</w:t>
      </w:r>
      <w:r>
        <w:rPr>
          <w:rFonts w:hint="eastAsia" w:ascii="仿宋_GB2312" w:hAnsi="Times New Roman" w:eastAsia="仿宋_GB2312" w:cs="仿宋_GB2312"/>
          <w:sz w:val="32"/>
          <w:szCs w:val="32"/>
          <w:u w:val="none"/>
        </w:rPr>
        <w:t>制作的调查笔录</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bCs/>
          <w:sz w:val="32"/>
          <w:szCs w:val="32"/>
          <w:u w:val="none"/>
        </w:rPr>
        <w:t>4</w:t>
      </w:r>
      <w:r>
        <w:rPr>
          <w:rFonts w:hint="eastAsia" w:ascii="仿宋_GB2312" w:hAnsi="Times New Roman" w:eastAsia="仿宋_GB2312" w:cs="仿宋_GB2312"/>
          <w:bCs/>
          <w:sz w:val="32"/>
          <w:szCs w:val="32"/>
          <w:u w:val="none"/>
          <w:lang w:eastAsia="zh-CN"/>
        </w:rPr>
        <w:t>、当事人提供的微信截图打印件；</w:t>
      </w:r>
      <w:r>
        <w:rPr>
          <w:rFonts w:hint="eastAsia" w:ascii="仿宋_GB2312" w:hAnsi="Times New Roman" w:eastAsia="仿宋_GB2312" w:cs="仿宋_GB2312"/>
          <w:bCs/>
          <w:sz w:val="32"/>
          <w:szCs w:val="32"/>
          <w:u w:val="none"/>
        </w:rPr>
        <w:t xml:space="preserve">        </w:t>
      </w:r>
    </w:p>
    <w:p>
      <w:pPr>
        <w:spacing w:line="560" w:lineRule="exact"/>
        <w:jc w:val="left"/>
        <w:rPr>
          <w:rFonts w:hint="eastAsia" w:ascii="仿宋_GB2312" w:hAnsi="Times New Roman" w:eastAsia="仿宋_GB2312" w:cs="仿宋_GB2312"/>
          <w:bCs/>
          <w:sz w:val="32"/>
          <w:szCs w:val="32"/>
          <w:u w:val="none"/>
          <w:lang w:eastAsia="zh-CN"/>
        </w:rPr>
      </w:pPr>
      <w:r>
        <w:rPr>
          <w:rFonts w:hint="eastAsia" w:ascii="仿宋_GB2312" w:hAnsi="Times New Roman" w:eastAsia="仿宋_GB2312" w:cs="仿宋_GB2312"/>
          <w:bCs/>
          <w:sz w:val="32"/>
          <w:szCs w:val="32"/>
          <w:u w:val="none"/>
          <w:lang w:val="en-US" w:eastAsia="zh-CN"/>
        </w:rPr>
        <w:t>5、当事人提交的整改报告。</w:t>
      </w:r>
    </w:p>
    <w:p>
      <w:pPr>
        <w:spacing w:line="560" w:lineRule="exact"/>
        <w:jc w:val="left"/>
        <w:rPr>
          <w:rFonts w:hint="eastAsia" w:ascii="仿宋_GB2312" w:hAnsi="仿宋_GB2312" w:eastAsia="仿宋_GB2312" w:cs="仿宋_GB2312"/>
          <w:color w:val="000000"/>
          <w:sz w:val="32"/>
          <w:szCs w:val="32"/>
          <w:u w:val="none"/>
        </w:rPr>
      </w:pPr>
      <w:r>
        <w:rPr>
          <w:rFonts w:hint="eastAsia" w:ascii="仿宋_GB2312" w:hAnsi="Times New Roman" w:eastAsia="仿宋_GB2312" w:cs="仿宋_GB2312"/>
          <w:bCs/>
          <w:sz w:val="32"/>
          <w:szCs w:val="32"/>
          <w:u w:val="none"/>
          <w:lang w:val="en-US" w:eastAsia="zh-CN"/>
        </w:rPr>
        <w:t xml:space="preserve">    </w:t>
      </w: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6</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日依法向当事人送达了《行政处罚告知书》（津辰市监</w:t>
      </w:r>
      <w:r>
        <w:rPr>
          <w:rFonts w:hint="eastAsia" w:ascii="仿宋_GB2312" w:hAnsi="仿宋_GB2312" w:eastAsia="仿宋_GB2312" w:cs="仿宋_GB2312"/>
          <w:color w:val="000000"/>
          <w:sz w:val="32"/>
          <w:szCs w:val="32"/>
          <w:u w:val="none"/>
          <w:lang w:eastAsia="zh-CN"/>
        </w:rPr>
        <w:t>综</w:t>
      </w:r>
      <w:r>
        <w:rPr>
          <w:rFonts w:hint="eastAsia" w:ascii="仿宋_GB2312" w:hAnsi="仿宋_GB2312" w:eastAsia="仿宋_GB2312" w:cs="仿宋_GB2312"/>
          <w:color w:val="000000"/>
          <w:sz w:val="32"/>
          <w:szCs w:val="32"/>
          <w:u w:val="none"/>
        </w:rPr>
        <w:t>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68</w:t>
      </w:r>
      <w:r>
        <w:rPr>
          <w:rFonts w:hint="eastAsia" w:ascii="仿宋_GB2312" w:hAnsi="仿宋_GB2312" w:eastAsia="仿宋_GB2312" w:cs="仿宋_GB2312"/>
          <w:color w:val="000000"/>
          <w:sz w:val="32"/>
          <w:szCs w:val="32"/>
          <w:u w:val="none"/>
        </w:rPr>
        <w:t>号），当事人未提出陈述、申辩意见</w:t>
      </w:r>
      <w:r>
        <w:rPr>
          <w:rFonts w:hint="eastAsia" w:ascii="仿宋_GB2312" w:hAnsi="仿宋_GB2312" w:eastAsia="仿宋_GB2312" w:cs="仿宋_GB2312"/>
          <w:color w:val="000000"/>
          <w:sz w:val="32"/>
          <w:szCs w:val="32"/>
          <w:u w:val="none"/>
          <w:lang w:eastAsia="zh-CN"/>
        </w:rPr>
        <w:t>，也未在规定时限内要求听证</w:t>
      </w: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u w:val="none"/>
        </w:rPr>
        <w:t>案件性质：</w:t>
      </w:r>
      <w:r>
        <w:rPr>
          <w:rFonts w:hint="eastAsia" w:ascii="仿宋_GB2312" w:hAnsi="仿宋_GB2312" w:eastAsia="仿宋_GB2312" w:cs="仿宋_GB2312"/>
          <w:color w:val="000000"/>
          <w:sz w:val="32"/>
          <w:szCs w:val="32"/>
          <w:u w:val="none"/>
          <w:lang w:eastAsia="zh-CN"/>
        </w:rPr>
        <w:t>本局认为，当事人的行为违反了《中华人民共和国食品安全法》第三十五条第一款：“</w:t>
      </w:r>
      <w:r>
        <w:rPr>
          <w:rFonts w:hint="eastAsia" w:ascii="仿宋_GB2312" w:hAnsi="仿宋_GB2312" w:eastAsia="仿宋_GB2312" w:cs="仿宋_GB2312"/>
          <w:color w:val="000000"/>
          <w:sz w:val="32"/>
          <w:szCs w:val="32"/>
          <w:u w:val="none"/>
          <w:lang w:val="en-US" w:eastAsia="zh-CN"/>
        </w:rPr>
        <w:t> 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r>
        <w:rPr>
          <w:rFonts w:hint="eastAsia" w:ascii="仿宋_GB2312" w:hAnsi="仿宋_GB2312" w:eastAsia="仿宋_GB2312" w:cs="仿宋_GB2312"/>
          <w:color w:val="000000"/>
          <w:sz w:val="32"/>
          <w:szCs w:val="32"/>
          <w:u w:val="none"/>
          <w:lang w:eastAsia="zh-CN"/>
        </w:rPr>
        <w:t>”的规定。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Times New Roman" w:hAnsi="仿宋_GB2312" w:eastAsia="仿宋_GB2312" w:cs="仿宋_GB2312"/>
          <w:bCs/>
          <w:sz w:val="32"/>
          <w:szCs w:val="32"/>
          <w:u w:val="none"/>
        </w:rPr>
        <w:t>自由裁量理由等其他需要说明的事项：</w:t>
      </w:r>
      <w:r>
        <w:rPr>
          <w:rFonts w:hint="eastAsia" w:ascii="Times New Roman" w:hAnsi="仿宋_GB2312" w:eastAsia="仿宋_GB2312" w:cs="仿宋_GB2312"/>
          <w:bCs/>
          <w:sz w:val="32"/>
          <w:szCs w:val="32"/>
          <w:u w:val="none"/>
          <w:lang w:eastAsia="zh-CN"/>
        </w:rPr>
        <w:t>在本案的调查过程中，当事人积极配合调查，如实提供相关证据材料，积极改正违法行为，应</w:t>
      </w:r>
      <w:r>
        <w:rPr>
          <w:rFonts w:hint="eastAsia" w:ascii="Times New Roman" w:hAnsi="Times New Roman" w:eastAsia="仿宋_GB2312" w:cs="仿宋_GB2312"/>
          <w:bCs/>
          <w:sz w:val="32"/>
          <w:szCs w:val="32"/>
          <w:u w:val="none"/>
          <w:lang w:eastAsia="zh-CN"/>
        </w:rPr>
        <w:t>符合</w:t>
      </w:r>
      <w:r>
        <w:rPr>
          <w:rFonts w:hint="eastAsia" w:ascii="Times New Roman" w:hAnsi="Times New Roman" w:eastAsia="仿宋_GB2312" w:cs="仿宋_GB2312"/>
          <w:bCs/>
          <w:sz w:val="32"/>
          <w:szCs w:val="32"/>
          <w:u w:val="none"/>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w:t>
      </w:r>
      <w:r>
        <w:rPr>
          <w:rFonts w:hint="eastAsia" w:ascii="Times New Roman" w:hAnsi="Times New Roman" w:eastAsia="仿宋_GB2312" w:cs="仿宋_GB2312"/>
          <w:bCs/>
          <w:sz w:val="32"/>
          <w:szCs w:val="32"/>
          <w:u w:val="none"/>
          <w:lang w:eastAsia="zh-CN"/>
        </w:rPr>
        <w:t>应减轻</w:t>
      </w:r>
      <w:r>
        <w:rPr>
          <w:rFonts w:hint="eastAsia" w:ascii="Times New Roman" w:hAnsi="Times New Roman" w:eastAsia="仿宋_GB2312" w:cs="仿宋_GB2312"/>
          <w:bCs/>
          <w:sz w:val="32"/>
          <w:szCs w:val="32"/>
          <w:u w:val="none"/>
        </w:rPr>
        <w:t>对当事人的</w:t>
      </w:r>
      <w:r>
        <w:rPr>
          <w:rFonts w:hint="eastAsia" w:ascii="Times New Roman" w:hAnsi="Times New Roman" w:eastAsia="仿宋_GB2312" w:cs="仿宋_GB2312"/>
          <w:bCs/>
          <w:sz w:val="32"/>
          <w:szCs w:val="32"/>
          <w:u w:val="none"/>
          <w:lang w:eastAsia="zh-CN"/>
        </w:rPr>
        <w:t>行政</w:t>
      </w:r>
      <w:r>
        <w:rPr>
          <w:rFonts w:hint="eastAsia" w:ascii="Times New Roman" w:hAnsi="Times New Roman" w:eastAsia="仿宋_GB2312" w:cs="仿宋_GB2312"/>
          <w:bCs/>
          <w:sz w:val="32"/>
          <w:szCs w:val="32"/>
          <w:u w:val="none"/>
        </w:rPr>
        <w:t>处罚</w:t>
      </w:r>
      <w:r>
        <w:rPr>
          <w:rFonts w:hint="eastAsia" w:ascii="Times New Roman" w:hAnsi="Times New Roman" w:eastAsia="仿宋_GB2312" w:cs="仿宋_GB2312"/>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Times New Roman" w:eastAsia="仿宋_GB2312" w:cs="仿宋_GB2312"/>
          <w:bCs/>
          <w:sz w:val="32"/>
          <w:szCs w:val="32"/>
          <w:u w:val="none"/>
        </w:rPr>
      </w:pPr>
      <w:r>
        <w:rPr>
          <w:rFonts w:hint="eastAsia" w:ascii="仿宋_GB2312" w:hAnsi="仿宋_GB2312" w:eastAsia="仿宋_GB2312" w:cs="仿宋_GB2312"/>
          <w:color w:val="000000"/>
          <w:sz w:val="32"/>
          <w:szCs w:val="32"/>
          <w:u w:val="none"/>
        </w:rPr>
        <w:t>处理意见及依据：依据</w:t>
      </w:r>
      <w:r>
        <w:rPr>
          <w:rFonts w:hint="eastAsia" w:ascii="仿宋_GB2312" w:hAnsi="仿宋_GB2312" w:eastAsia="仿宋_GB2312" w:cs="仿宋_GB2312"/>
          <w:color w:val="000000"/>
          <w:sz w:val="32"/>
          <w:szCs w:val="32"/>
          <w:u w:val="none"/>
          <w:lang w:eastAsia="zh-CN"/>
        </w:rPr>
        <w:t>《中华人民共和国食品安全法</w:t>
      </w:r>
      <w:r>
        <w:rPr>
          <w:rFonts w:hint="eastAsia" w:ascii="仿宋_GB2312" w:hAnsi="仿宋_GB2312" w:eastAsia="仿宋_GB2312" w:cs="仿宋_GB2312"/>
          <w:color w:val="000000"/>
          <w:sz w:val="32"/>
          <w:szCs w:val="32"/>
          <w:u w:val="none"/>
        </w:rPr>
        <w:t>》第</w:t>
      </w:r>
      <w:r>
        <w:rPr>
          <w:rFonts w:hint="eastAsia" w:ascii="仿宋_GB2312" w:hAnsi="仿宋_GB2312" w:eastAsia="仿宋_GB2312" w:cs="仿宋_GB2312"/>
          <w:color w:val="000000"/>
          <w:sz w:val="32"/>
          <w:szCs w:val="32"/>
          <w:u w:val="none"/>
          <w:lang w:eastAsia="zh-CN"/>
        </w:rPr>
        <w:t>一百二十二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和《中华人民共和国行政处罚法》第二十八条第一款“</w:t>
      </w:r>
      <w:r>
        <w:rPr>
          <w:rFonts w:hint="eastAsia" w:ascii="仿宋_GB2312" w:hAnsi="仿宋_GB2312" w:eastAsia="仿宋_GB2312" w:cs="仿宋_GB2312"/>
          <w:color w:val="000000"/>
          <w:sz w:val="32"/>
          <w:szCs w:val="32"/>
          <w:u w:val="none"/>
          <w:lang w:val="en-US" w:eastAsia="zh-CN"/>
        </w:rPr>
        <w:t> 行政机关实施行政处罚时，应当责令当事人改正或者限期改正违法行为。</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的规定，责令当事人</w:t>
      </w:r>
      <w:r>
        <w:rPr>
          <w:rFonts w:hint="eastAsia" w:ascii="仿宋_GB2312" w:hAnsi="仿宋_GB2312" w:eastAsia="仿宋_GB2312" w:cs="仿宋_GB2312"/>
          <w:color w:val="000000"/>
          <w:sz w:val="32"/>
          <w:szCs w:val="32"/>
          <w:u w:val="none"/>
          <w:lang w:eastAsia="zh-CN"/>
        </w:rPr>
        <w:t>立即改正违法行为</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拟</w:t>
      </w:r>
      <w:r>
        <w:rPr>
          <w:rFonts w:hint="eastAsia" w:ascii="仿宋_GB2312" w:hAnsi="仿宋_GB2312" w:eastAsia="仿宋_GB2312" w:cs="仿宋_GB2312"/>
          <w:color w:val="000000"/>
          <w:sz w:val="32"/>
          <w:szCs w:val="32"/>
          <w:u w:val="none"/>
        </w:rPr>
        <w:t>对当事人给予以下行政处罚：</w:t>
      </w:r>
      <w:r>
        <w:rPr>
          <w:rFonts w:hint="eastAsia" w:ascii="仿宋_GB2312" w:hAnsi="Times New Roman" w:eastAsia="仿宋_GB2312" w:cs="仿宋_GB2312"/>
          <w:bCs/>
          <w:sz w:val="32"/>
          <w:szCs w:val="32"/>
          <w:u w:val="none"/>
          <w:lang w:val="en-US" w:eastAsia="zh-CN"/>
        </w:rPr>
        <w:t>1.没收水罐2桶、水过滤器4件、封装机2台、青光缘饮用水（350ML/瓶，12瓶/箱）92箱、青光缘饮用水（500ML/瓶，12瓶/箱）360箱、桶装水83桶、空桶50桶、空瓶2万瓶；2.</w:t>
      </w:r>
      <w:r>
        <w:rPr>
          <w:rFonts w:hint="eastAsia" w:ascii="仿宋_GB2312" w:hAnsi="Times New Roman" w:eastAsia="仿宋_GB2312" w:cs="仿宋_GB2312"/>
          <w:bCs/>
          <w:sz w:val="32"/>
          <w:szCs w:val="32"/>
          <w:u w:val="none"/>
        </w:rPr>
        <w:t>罚款</w:t>
      </w:r>
      <w:r>
        <w:rPr>
          <w:rFonts w:hint="eastAsia" w:ascii="仿宋_GB2312" w:hAnsi="Times New Roman" w:eastAsia="仿宋_GB2312" w:cs="仿宋_GB2312"/>
          <w:bCs/>
          <w:sz w:val="32"/>
          <w:szCs w:val="32"/>
          <w:u w:val="none"/>
          <w:lang w:val="en-US" w:eastAsia="zh-CN"/>
        </w:rPr>
        <w:t>20000</w:t>
      </w:r>
      <w:r>
        <w:rPr>
          <w:rFonts w:hint="eastAsia" w:ascii="仿宋_GB2312" w:hAnsi="Times New Roman" w:eastAsia="仿宋_GB2312" w:cs="仿宋_GB2312"/>
          <w:bCs/>
          <w:sz w:val="32"/>
          <w:szCs w:val="32"/>
          <w:u w:val="none"/>
        </w:rPr>
        <w:t>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u w:val="none"/>
        </w:rPr>
        <w:t>申请行政复议或者提起行政诉讼期间，行政处罚不停止执行。</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黑体" w:hAnsi="黑体" w:eastAsia="黑体" w:cs="黑体"/>
          <w:color w:val="000000"/>
          <w:sz w:val="30"/>
          <w:szCs w:val="30"/>
          <w:u w:val="none"/>
        </w:rPr>
      </w:pPr>
      <w:r>
        <w:rPr>
          <w:rFonts w:hint="eastAsia" w:ascii="仿宋_GB2312" w:hAnsi="仿宋_GB2312" w:eastAsia="仿宋_GB2312" w:cs="仿宋_GB2312"/>
          <w:color w:val="000000"/>
          <w:sz w:val="32"/>
          <w:szCs w:val="32"/>
          <w:u w:val="none"/>
        </w:rPr>
        <w:t xml:space="preserve">                  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 xml:space="preserve"> 年 </w:t>
      </w:r>
      <w:r>
        <w:rPr>
          <w:rFonts w:hint="eastAsia" w:ascii="仿宋_GB2312" w:hAnsi="仿宋_GB2312" w:eastAsia="仿宋_GB2312" w:cs="仿宋_GB2312"/>
          <w:color w:val="000000"/>
          <w:sz w:val="32"/>
          <w:szCs w:val="32"/>
          <w:u w:val="none"/>
          <w:lang w:val="en-US" w:eastAsia="zh-CN"/>
        </w:rPr>
        <w:t>6</w:t>
      </w:r>
      <w:r>
        <w:rPr>
          <w:rFonts w:hint="eastAsia" w:ascii="仿宋_GB2312" w:hAnsi="仿宋_GB2312" w:eastAsia="仿宋_GB2312" w:cs="仿宋_GB2312"/>
          <w:color w:val="000000"/>
          <w:sz w:val="32"/>
          <w:szCs w:val="32"/>
          <w:u w:val="none"/>
        </w:rPr>
        <w:t xml:space="preserve">月 </w:t>
      </w:r>
      <w:r>
        <w:rPr>
          <w:rFonts w:hint="eastAsia" w:ascii="仿宋_GB2312" w:hAnsi="仿宋_GB2312" w:eastAsia="仿宋_GB2312" w:cs="仿宋_GB2312"/>
          <w:color w:val="000000"/>
          <w:sz w:val="32"/>
          <w:szCs w:val="32"/>
          <w:u w:val="none"/>
          <w:lang w:val="en-US" w:eastAsia="zh-CN"/>
        </w:rPr>
        <w:t>10</w:t>
      </w:r>
      <w:r>
        <w:rPr>
          <w:rFonts w:hint="eastAsia" w:ascii="仿宋_GB2312" w:hAnsi="仿宋_GB2312" w:eastAsia="仿宋_GB2312" w:cs="仿宋_GB2312"/>
          <w:color w:val="000000"/>
          <w:sz w:val="32"/>
          <w:szCs w:val="32"/>
          <w:u w:val="none"/>
        </w:rPr>
        <w:t xml:space="preserve"> 日</w:t>
      </w: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C96097"/>
    <w:rsid w:val="30952ADB"/>
    <w:rsid w:val="347DFF46"/>
    <w:rsid w:val="3BA94389"/>
    <w:rsid w:val="3BC54CED"/>
    <w:rsid w:val="4616236D"/>
    <w:rsid w:val="46DFD0C5"/>
    <w:rsid w:val="56BFB2D8"/>
    <w:rsid w:val="594DCE97"/>
    <w:rsid w:val="5FAA48E3"/>
    <w:rsid w:val="67CF1A3D"/>
    <w:rsid w:val="6FBFB1DF"/>
    <w:rsid w:val="73975D6E"/>
    <w:rsid w:val="773FA24A"/>
    <w:rsid w:val="77D2334A"/>
    <w:rsid w:val="7A4B0EB6"/>
    <w:rsid w:val="7AFE7D2D"/>
    <w:rsid w:val="7DAB5F0D"/>
    <w:rsid w:val="7EEEE572"/>
    <w:rsid w:val="7F9B95B0"/>
    <w:rsid w:val="7FBB58C8"/>
    <w:rsid w:val="9E0B8353"/>
    <w:rsid w:val="B1CD19F1"/>
    <w:rsid w:val="B56DDD7E"/>
    <w:rsid w:val="BBEE00C3"/>
    <w:rsid w:val="D6A44384"/>
    <w:rsid w:val="DDE767F9"/>
    <w:rsid w:val="DE37221A"/>
    <w:rsid w:val="E74E6518"/>
    <w:rsid w:val="E7CDFC5E"/>
    <w:rsid w:val="F6FE7063"/>
    <w:rsid w:val="F79F8080"/>
    <w:rsid w:val="F7BDD550"/>
    <w:rsid w:val="FA7FE5D8"/>
    <w:rsid w:val="FAB9FD0B"/>
    <w:rsid w:val="FDDAF835"/>
    <w:rsid w:val="FED7D438"/>
    <w:rsid w:val="FEE530C4"/>
    <w:rsid w:val="FEFF370B"/>
    <w:rsid w:val="FF07FB02"/>
    <w:rsid w:val="FF6F48BD"/>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1</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2019-04-06T22:52:00Z</dcterms:created>
  <dc:creator>赵明宇</dc:creator>
  <cp:lastModifiedBy>greatwall</cp:lastModifiedBy>
  <cp:lastPrinted>2021-12-04T02:40:00Z</cp:lastPrinted>
  <dcterms:modified xsi:type="dcterms:W3CDTF">2022-06-10T15:38:45Z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