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val="0"/>
        <w:overflowPunct/>
        <w:topLinePunct w:val="0"/>
        <w:autoSpaceDE/>
        <w:autoSpaceDN/>
        <w:bidi w:val="0"/>
        <w:adjustRightInd/>
        <w:snapToGrid w:val="0"/>
        <w:spacing w:line="420" w:lineRule="exact"/>
        <w:jc w:val="center"/>
        <w:textAlignment w:val="auto"/>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pict>
          <v:shape id="直接箭头连接符 10" o:spid="_x0000_s1026" o:spt="32" type="#_x0000_t32" style="position:absolute;left:0pt;margin-left:2pt;margin-top:1638pt;height:0.1pt;width:453.7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">
            <v:path arrowok="t"/>
            <v:fill on="f" focussize="0,0"/>
            <v:stroke weight="1.5pt" endcap="square"/>
            <v:imagedata o:title=""/>
            <o:lock v:ext="edit"/>
          </v:shape>
        </w:pict>
      </w:r>
      <w:r>
        <w:rPr>
          <w:rFonts w:hint="eastAsia" w:ascii="Times New Roman" w:hAnsi="Times New Roman" w:eastAsia="仿宋_GB2312" w:cs="仿宋"/>
          <w:color w:val="000000"/>
          <w:sz w:val="32"/>
          <w:szCs w:val="32"/>
          <w:u w:val="none"/>
        </w:rPr>
        <w:t>津辰市监综</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88</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号</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 xml:space="preserve">当事人：天津佳酿酒厂      </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 xml:space="preserve">统一社会信用代码：91120113103984516J </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住所：天津市北辰区津同公路一经路立交桥北侧</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法定代表人：肖贵明</w:t>
      </w:r>
    </w:p>
    <w:p>
      <w:pPr>
        <w:keepNext w:val="0"/>
        <w:keepLines w:val="0"/>
        <w:pageBreakBefore w:val="0"/>
        <w:widowControl/>
        <w:kinsoku w:val="0"/>
        <w:wordWrap/>
        <w:overflowPunct/>
        <w:topLinePunct w:val="0"/>
        <w:autoSpaceDE w:val="0"/>
        <w:autoSpaceDN w:val="0"/>
        <w:bidi w:val="0"/>
        <w:adjustRightInd w:val="0"/>
        <w:snapToGrid w:val="0"/>
        <w:spacing w:line="410" w:lineRule="exact"/>
        <w:ind w:right="16"/>
        <w:textAlignment w:val="baseline"/>
        <w:rPr>
          <w:rFonts w:hint="default"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身份证件号码：/</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34" w:right="16" w:firstLine="675" w:firstLineChars="211"/>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2022年</w:t>
      </w:r>
      <w:r>
        <w:rPr>
          <w:rFonts w:hint="default" w:ascii="仿宋_GB2312" w:hAnsi="Times New Roman" w:eastAsia="仿宋_GB2312" w:cs="仿宋_GB2312"/>
          <w:sz w:val="32"/>
          <w:szCs w:val="32"/>
          <w:u w:val="none"/>
          <w:lang w:val="en" w:eastAsia="zh-CN"/>
        </w:rPr>
        <w:t>6</w:t>
      </w:r>
      <w:r>
        <w:rPr>
          <w:rFonts w:hint="eastAsia" w:ascii="仿宋_GB2312" w:hAnsi="Times New Roman" w:eastAsia="仿宋_GB2312" w:cs="仿宋_GB2312"/>
          <w:sz w:val="32"/>
          <w:szCs w:val="32"/>
          <w:u w:val="none"/>
          <w:lang w:val="en-US" w:eastAsia="zh-CN"/>
        </w:rPr>
        <w:t>月</w:t>
      </w:r>
      <w:r>
        <w:rPr>
          <w:rFonts w:hint="default" w:ascii="仿宋_GB2312" w:hAnsi="Times New Roman" w:eastAsia="仿宋_GB2312" w:cs="仿宋_GB2312"/>
          <w:sz w:val="32"/>
          <w:szCs w:val="32"/>
          <w:u w:val="none"/>
          <w:lang w:val="en" w:eastAsia="zh-CN"/>
        </w:rPr>
        <w:t>30</w:t>
      </w:r>
      <w:r>
        <w:rPr>
          <w:rFonts w:hint="eastAsia" w:ascii="仿宋_GB2312" w:hAnsi="Times New Roman" w:eastAsia="仿宋_GB2312" w:cs="仿宋_GB2312"/>
          <w:sz w:val="32"/>
          <w:szCs w:val="32"/>
          <w:u w:val="none"/>
          <w:lang w:val="en-US" w:eastAsia="zh-CN"/>
        </w:rPr>
        <w:t>日，我局执法人员浏览网页时发现天津佳酿酒厂网站上品牌故事内容有“天津佳酿酒厂……固定资产3000万元人民币，员工近百人……产品热销京、津、冀、晋、鲁等多个省市自治区。……建设万亩高粱种植基地项目”等内容。</w:t>
      </w:r>
      <w:r>
        <w:rPr>
          <w:rFonts w:hint="default" w:ascii="仿宋_GB2312" w:hAnsi="Times New Roman" w:eastAsia="仿宋_GB2312" w:cs="仿宋_GB2312"/>
          <w:sz w:val="32"/>
          <w:szCs w:val="32"/>
          <w:u w:val="none"/>
          <w:lang w:val="en" w:eastAsia="zh-CN"/>
        </w:rPr>
        <w:t>2022</w:t>
      </w:r>
      <w:r>
        <w:rPr>
          <w:rFonts w:hint="eastAsia" w:ascii="仿宋_GB2312" w:hAnsi="Times New Roman" w:eastAsia="仿宋_GB2312" w:cs="仿宋_GB2312"/>
          <w:sz w:val="32"/>
          <w:szCs w:val="32"/>
          <w:u w:val="none"/>
          <w:lang w:val="en" w:eastAsia="zh-CN"/>
        </w:rPr>
        <w:t>年</w:t>
      </w:r>
      <w:r>
        <w:rPr>
          <w:rFonts w:hint="eastAsia" w:ascii="仿宋_GB2312" w:hAnsi="Times New Roman" w:eastAsia="仿宋_GB2312" w:cs="仿宋_GB2312"/>
          <w:sz w:val="32"/>
          <w:szCs w:val="32"/>
          <w:u w:val="none"/>
          <w:lang w:val="en-US" w:eastAsia="zh-CN"/>
        </w:rPr>
        <w:t>7月1日，经我执法人员现场核查，上述宣传内容与实际情况不符，涉嫌虚假。当日，我执法人员报经局领导批准，予以立案调查。经询问当事人，收集相关资料等方式，案件现已调查终结。本案未采取行政强制措施。</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34" w:right="16" w:firstLine="675" w:firstLineChars="211"/>
        <w:textAlignment w:val="baseline"/>
        <w:rPr>
          <w:rFonts w:hint="default"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经查明，当事人于2015年4月，通过天津通商科技开发有限公司建立本酒厂网站，网址为</w:t>
      </w:r>
      <w:r>
        <w:rPr>
          <w:rFonts w:hint="default" w:ascii="仿宋_GB2312" w:hAnsi="Times New Roman" w:eastAsia="仿宋_GB2312" w:cs="仿宋_GB2312"/>
          <w:sz w:val="32"/>
          <w:szCs w:val="32"/>
          <w:u w:val="none"/>
          <w:lang w:val="en" w:eastAsia="zh-CN"/>
        </w:rPr>
        <w:t>http://www.tjjianiang.com</w:t>
      </w:r>
      <w:r>
        <w:rPr>
          <w:rFonts w:hint="eastAsia" w:ascii="仿宋_GB2312" w:hAnsi="Times New Roman" w:eastAsia="仿宋_GB2312" w:cs="仿宋_GB2312"/>
          <w:sz w:val="32"/>
          <w:szCs w:val="32"/>
          <w:u w:val="none"/>
          <w:lang w:val="en" w:eastAsia="zh-CN"/>
        </w:rPr>
        <w:t>，</w:t>
      </w:r>
      <w:r>
        <w:rPr>
          <w:rFonts w:hint="eastAsia" w:ascii="仿宋_GB2312" w:hAnsi="Times New Roman" w:eastAsia="仿宋_GB2312" w:cs="仿宋_GB2312"/>
          <w:sz w:val="32"/>
          <w:szCs w:val="32"/>
          <w:u w:val="none"/>
          <w:lang w:val="en-US" w:eastAsia="zh-CN"/>
        </w:rPr>
        <w:t>而后在网站上发布了“天津佳酿酒厂……固定资产3000万元人民币，员工近百人，……产品热销京、津、冀、晋、鲁等多个省市自治区。……特别是杨柳青酒采用四川宜宾、泸州公司两大合作生产基地……，建设“万亩高粱种植基地项目”等宣传内容。上述宣传内容当事人无法提供证据涉嫌虚假。其行为满足虚假商业宣传行为的构成要件。</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34" w:right="16" w:firstLine="675" w:firstLineChars="211"/>
        <w:textAlignment w:val="baseline"/>
        <w:rPr>
          <w:rFonts w:hint="default"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上述事实，主要有以下证据证明：1.当事人的营业执照、食品生产许可证和法定代表人肖贵明的身份证复印件；2.当事人提供的授权委托书、委托人和被委托人的身份证复印件；3.现场笔录、网页截屏、现场检查照片打印件；4.对被委托人韩彩玉的询问笔录、当事人提供的固定资产台账表、产品购销合同复印件、因特网接入服务费票据复印件；5.当事人提供的整改报告、对网站修改截屏打印件。</w:t>
      </w:r>
    </w:p>
    <w:p>
      <w:pPr>
        <w:keepNext w:val="0"/>
        <w:keepLines w:val="0"/>
        <w:pageBreakBefore w:val="0"/>
        <w:wordWrap w:val="0"/>
        <w:overflowPunct/>
        <w:topLinePunct w:val="0"/>
        <w:bidi w:val="0"/>
        <w:spacing w:line="410" w:lineRule="exact"/>
        <w:ind w:firstLine="640" w:firstLineChars="200"/>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本局</w:t>
      </w:r>
      <w:r>
        <w:rPr>
          <w:rFonts w:ascii="Times New Roman" w:hAnsi="Times New Roman" w:eastAsia="仿宋_GB2312" w:cs="仿宋_GB2312"/>
          <w:bCs/>
          <w:sz w:val="32"/>
          <w:szCs w:val="32"/>
          <w:u w:val="none"/>
        </w:rPr>
        <w:t>于</w:t>
      </w:r>
      <w:r>
        <w:rPr>
          <w:rFonts w:hint="eastAsia" w:ascii="Times New Roman" w:hAnsi="Times New Roman" w:eastAsia="仿宋_GB2312" w:cs="仿宋_GB2312"/>
          <w:bCs/>
          <w:sz w:val="32"/>
          <w:szCs w:val="32"/>
          <w:u w:val="none"/>
        </w:rPr>
        <w:t>2</w:t>
      </w:r>
      <w:r>
        <w:rPr>
          <w:rFonts w:ascii="Times New Roman" w:hAnsi="Times New Roman" w:eastAsia="仿宋_GB2312" w:cs="仿宋_GB2312"/>
          <w:bCs/>
          <w:sz w:val="32"/>
          <w:szCs w:val="32"/>
          <w:u w:val="none"/>
        </w:rPr>
        <w:t>02</w:t>
      </w:r>
      <w:r>
        <w:rPr>
          <w:rFonts w:hint="eastAsia" w:ascii="Times New Roman" w:hAnsi="Times New Roman" w:eastAsia="仿宋_GB2312" w:cs="仿宋_GB2312"/>
          <w:bCs/>
          <w:sz w:val="32"/>
          <w:szCs w:val="32"/>
          <w:u w:val="none"/>
          <w:lang w:val="en-US" w:eastAsia="zh-CN"/>
        </w:rPr>
        <w:t>2</w:t>
      </w:r>
      <w:r>
        <w:rPr>
          <w:rFonts w:ascii="Times New Roman" w:hAnsi="Times New Roman" w:eastAsia="仿宋_GB2312" w:cs="仿宋_GB2312"/>
          <w:bCs/>
          <w:sz w:val="32"/>
          <w:szCs w:val="32"/>
          <w:u w:val="none"/>
        </w:rPr>
        <w:t>年</w:t>
      </w:r>
      <w:r>
        <w:rPr>
          <w:rFonts w:hint="eastAsia" w:ascii="Times New Roman" w:hAnsi="Times New Roman" w:eastAsia="仿宋_GB2312" w:cs="仿宋_GB2312"/>
          <w:bCs/>
          <w:sz w:val="32"/>
          <w:szCs w:val="32"/>
          <w:u w:val="none"/>
          <w:lang w:val="en-US" w:eastAsia="zh-CN"/>
        </w:rPr>
        <w:t>8</w:t>
      </w:r>
      <w:r>
        <w:rPr>
          <w:rFonts w:ascii="Times New Roman" w:hAnsi="Times New Roman" w:eastAsia="仿宋_GB2312" w:cs="仿宋_GB2312"/>
          <w:bCs/>
          <w:sz w:val="32"/>
          <w:szCs w:val="32"/>
          <w:u w:val="none"/>
        </w:rPr>
        <w:t>月</w:t>
      </w:r>
      <w:r>
        <w:rPr>
          <w:rFonts w:hint="eastAsia" w:ascii="Times New Roman" w:hAnsi="Times New Roman" w:eastAsia="仿宋_GB2312" w:cs="仿宋_GB2312"/>
          <w:bCs/>
          <w:sz w:val="32"/>
          <w:szCs w:val="32"/>
          <w:u w:val="none"/>
          <w:lang w:val="en-US" w:eastAsia="zh-CN"/>
        </w:rPr>
        <w:t>3</w:t>
      </w:r>
      <w:r>
        <w:rPr>
          <w:rFonts w:ascii="Times New Roman" w:hAnsi="Times New Roman" w:eastAsia="仿宋_GB2312" w:cs="仿宋_GB2312"/>
          <w:bCs/>
          <w:sz w:val="32"/>
          <w:szCs w:val="32"/>
          <w:u w:val="none"/>
        </w:rPr>
        <w:t>日</w:t>
      </w:r>
      <w:r>
        <w:rPr>
          <w:rFonts w:hint="eastAsia" w:ascii="Times New Roman" w:hAnsi="Times New Roman" w:eastAsia="仿宋_GB2312" w:cs="仿宋_GB2312"/>
          <w:bCs/>
          <w:sz w:val="32"/>
          <w:szCs w:val="32"/>
          <w:u w:val="none"/>
        </w:rPr>
        <w:t>依法</w:t>
      </w:r>
      <w:r>
        <w:rPr>
          <w:rFonts w:ascii="Times New Roman" w:hAnsi="Times New Roman" w:eastAsia="仿宋_GB2312" w:cs="仿宋_GB2312"/>
          <w:bCs/>
          <w:sz w:val="32"/>
          <w:szCs w:val="32"/>
          <w:u w:val="none"/>
        </w:rPr>
        <w:t>向当事人送达了</w:t>
      </w:r>
      <w:r>
        <w:rPr>
          <w:rFonts w:hint="eastAsia" w:ascii="Times New Roman" w:hAnsi="Times New Roman" w:eastAsia="仿宋_GB2312" w:cs="仿宋_GB2312"/>
          <w:bCs/>
          <w:sz w:val="32"/>
          <w:szCs w:val="32"/>
          <w:u w:val="none"/>
        </w:rPr>
        <w:t>《行政处罚告知书》（津辰市监综罚告〔20</w:t>
      </w:r>
      <w:r>
        <w:rPr>
          <w:rFonts w:hint="eastAsia" w:ascii="Times New Roman" w:hAnsi="Times New Roman" w:eastAsia="仿宋_GB2312" w:cs="仿宋_GB2312"/>
          <w:bCs/>
          <w:sz w:val="32"/>
          <w:szCs w:val="32"/>
          <w:u w:val="none"/>
          <w:lang w:val="en-US" w:eastAsia="zh-CN"/>
        </w:rPr>
        <w:t>22</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val="en-US" w:eastAsia="zh-CN"/>
        </w:rPr>
        <w:t>88</w:t>
      </w:r>
      <w:r>
        <w:rPr>
          <w:rFonts w:hint="eastAsia" w:ascii="Times New Roman" w:hAnsi="Times New Roman" w:eastAsia="仿宋_GB2312" w:cs="仿宋_GB2312"/>
          <w:bCs/>
          <w:sz w:val="32"/>
          <w:szCs w:val="32"/>
          <w:u w:val="none"/>
        </w:rPr>
        <w:t>号</w:t>
      </w:r>
      <w:r>
        <w:rPr>
          <w:rFonts w:hint="eastAsia" w:ascii="Times New Roman" w:hAnsi="Times New Roman" w:eastAsia="仿宋_GB2312" w:cs="仿宋_GB2312"/>
          <w:sz w:val="32"/>
          <w:szCs w:val="32"/>
          <w:u w:val="none"/>
        </w:rPr>
        <w:t>）</w:t>
      </w:r>
      <w:r>
        <w:rPr>
          <w:rFonts w:ascii="Times New Roman" w:hAnsi="Times New Roman" w:eastAsia="仿宋_GB2312" w:cs="仿宋_GB2312"/>
          <w:sz w:val="32"/>
          <w:szCs w:val="32"/>
          <w:u w:val="none"/>
        </w:rPr>
        <w:t>，当事人未提出陈述申辩意见。</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numPr>
          <w:ilvl w:val="0"/>
          <w:numId w:val="0"/>
        </w:numPr>
        <w:wordWrap/>
        <w:overflowPunct/>
        <w:topLinePunct w:val="0"/>
        <w:bidi w:val="0"/>
        <w:spacing w:line="410" w:lineRule="exact"/>
        <w:ind w:firstLine="640" w:firstLineChars="200"/>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本局认为，当事人行为已违反了《中华人民共和国反不正当竞争法》第八条第一款“经营者不得对其商品的性能、功能、质量、销售状况、用户评价、曾获荣誉等作虚假或者引人误解的商业宣传，欺骗、误导消费者。”的规定。鉴于当事人在本案调查中积极配合，如实提供材料，删除虚假内容，积极整改，符合《天津市市场和质量监督管理委员会行政处罚裁量适用规则》第十三条第五项予以减轻处罚的规定。</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34" w:right="16" w:firstLine="675" w:firstLineChars="211"/>
        <w:textAlignment w:val="baseline"/>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依据《中华人民共和国反不正当竞争法》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责令当事人停止虚假商业宣传行为，处罚款5000元。</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34" w:right="16" w:firstLine="675" w:firstLineChars="211"/>
        <w:textAlignment w:val="baseline"/>
        <w:rPr>
          <w:rFonts w:hint="eastAsia" w:ascii="Times New Roman" w:hAnsi="Times New Roman" w:eastAsia="仿宋_GB2312" w:cs="仿宋_GB2312"/>
          <w:color w:val="000000"/>
          <w:sz w:val="32"/>
          <w:szCs w:val="32"/>
          <w:u w:val="none"/>
        </w:rPr>
      </w:pPr>
      <w:r>
        <w:rPr>
          <w:rFonts w:hint="eastAsia" w:ascii="仿宋_GB2312" w:hAnsi="Times New Roman" w:eastAsia="仿宋_GB2312" w:cs="仿宋_GB2312"/>
          <w:sz w:val="32"/>
          <w:szCs w:val="32"/>
          <w:u w:val="none"/>
          <w:lang w:val="en-US" w:eastAsia="zh-CN"/>
        </w:rPr>
        <w:t>当事人应当自收到本行政处罚决定书之日起十五日内，将罚</w:t>
      </w:r>
      <w:r>
        <w:rPr>
          <w:rFonts w:hint="eastAsia" w:ascii="Times New Roman" w:hAnsi="Times New Roman" w:eastAsia="仿宋_GB2312" w:cs="仿宋_GB2312"/>
          <w:color w:val="000000"/>
          <w:sz w:val="32"/>
          <w:szCs w:val="32"/>
          <w:u w:val="none"/>
        </w:rPr>
        <w:t>没款缴至中国工商银行天津分行、中国银行天津分行、中国农业银行天津分行、中国建设银行天津分行、天津银行、中国光大银行天津分行、浙商银行天津分行等市财政指定非税收入收缴银行对公网点。逾期不缴纳罚款的，依据《</w:t>
      </w:r>
      <w:r>
        <w:rPr>
          <w:rFonts w:hint="eastAsia" w:ascii="Times New Roman" w:hAnsi="Times New Roman" w:eastAsia="仿宋_GB2312" w:cs="仿宋_GB2312"/>
          <w:color w:val="000000"/>
          <w:sz w:val="32"/>
          <w:szCs w:val="32"/>
          <w:u w:val="none"/>
          <w:lang w:eastAsia="zh-CN"/>
        </w:rPr>
        <w:t>价格违法行为行政处罚规定</w:t>
      </w:r>
      <w:r>
        <w:rPr>
          <w:rFonts w:hint="eastAsia" w:ascii="Times New Roman" w:hAnsi="Times New Roman" w:eastAsia="仿宋_GB2312" w:cs="仿宋_GB2312"/>
          <w:color w:val="000000"/>
          <w:sz w:val="32"/>
          <w:szCs w:val="32"/>
          <w:u w:val="none"/>
        </w:rPr>
        <w:t>》第</w:t>
      </w:r>
      <w:r>
        <w:rPr>
          <w:rFonts w:hint="eastAsia" w:ascii="Times New Roman" w:hAnsi="Times New Roman" w:eastAsia="仿宋_GB2312" w:cs="仿宋_GB2312"/>
          <w:color w:val="000000"/>
          <w:sz w:val="32"/>
          <w:szCs w:val="32"/>
          <w:u w:val="none"/>
          <w:lang w:eastAsia="zh-CN"/>
        </w:rPr>
        <w:t>二十一</w:t>
      </w:r>
      <w:r>
        <w:rPr>
          <w:rFonts w:hint="eastAsia" w:ascii="Times New Roman" w:hAnsi="Times New Roman" w:eastAsia="仿宋_GB2312" w:cs="仿宋_GB2312"/>
          <w:color w:val="000000"/>
          <w:sz w:val="32"/>
          <w:szCs w:val="32"/>
          <w:u w:val="none"/>
        </w:rPr>
        <w:t>条的规定，</w:t>
      </w:r>
      <w:r>
        <w:rPr>
          <w:rFonts w:hint="eastAsia" w:ascii="Times New Roman" w:hAnsi="Times New Roman" w:eastAsia="仿宋_GB2312" w:cs="仿宋_GB2312"/>
          <w:color w:val="000000"/>
          <w:sz w:val="32"/>
          <w:szCs w:val="32"/>
          <w:u w:val="none"/>
          <w:lang w:eastAsia="zh-CN"/>
        </w:rPr>
        <w:t>本局将</w:t>
      </w:r>
      <w:r>
        <w:rPr>
          <w:rFonts w:hint="eastAsia" w:ascii="Times New Roman" w:hAnsi="Times New Roman" w:eastAsia="仿宋_GB2312" w:cs="仿宋_GB2312"/>
          <w:color w:val="000000"/>
          <w:sz w:val="32"/>
          <w:szCs w:val="32"/>
          <w:u w:val="none"/>
        </w:rPr>
        <w:t>每日按罚款数额的百分之三加处罚款，并依法申请人民法院强制执行。</w:t>
      </w:r>
    </w:p>
    <w:p>
      <w:pPr>
        <w:keepNext w:val="0"/>
        <w:keepLines w:val="0"/>
        <w:pageBreakBefore w:val="0"/>
        <w:wordWrap w:val="0"/>
        <w:overflowPunct/>
        <w:topLinePunct w:val="0"/>
        <w:bidi w:val="0"/>
        <w:spacing w:line="410" w:lineRule="exact"/>
        <w:ind w:firstLine="640" w:firstLineChars="200"/>
        <w:rPr>
          <w:rFonts w:hint="eastAsia" w:ascii="仿宋_GB2312" w:hAnsi="Times New Roman" w:eastAsia="仿宋_GB2312" w:cs="仿宋_GB2312"/>
          <w:bCs/>
          <w:sz w:val="32"/>
          <w:szCs w:val="32"/>
          <w:u w:val="none"/>
          <w:lang w:eastAsia="zh-CN"/>
        </w:rPr>
      </w:pPr>
      <w:r>
        <w:rPr>
          <w:rFonts w:hint="eastAsia" w:ascii="仿宋_GB2312" w:hAnsi="Times New Roman" w:eastAsia="仿宋_GB2312" w:cs="仿宋_GB2312"/>
          <w:bCs/>
          <w:sz w:val="32"/>
          <w:szCs w:val="32"/>
          <w:u w:val="none"/>
        </w:rPr>
        <w:t>如对本行政处罚决定不服，可以于收到本</w:t>
      </w:r>
      <w:r>
        <w:rPr>
          <w:rFonts w:hint="eastAsia" w:ascii="仿宋_GB2312" w:hAnsi="Times New Roman" w:eastAsia="仿宋_GB2312" w:cs="仿宋_GB2312"/>
          <w:bCs/>
          <w:sz w:val="32"/>
          <w:szCs w:val="32"/>
          <w:u w:val="none"/>
          <w:lang w:eastAsia="zh-CN"/>
        </w:rPr>
        <w:t>行政处罚</w:t>
      </w:r>
      <w:r>
        <w:rPr>
          <w:rFonts w:hint="eastAsia" w:ascii="仿宋_GB2312" w:hAnsi="Times New Roman" w:eastAsia="仿宋_GB2312" w:cs="仿宋_GB2312"/>
          <w:bCs/>
          <w:sz w:val="32"/>
          <w:szCs w:val="32"/>
          <w:u w:val="none"/>
        </w:rPr>
        <w:t>决定书之日起六十日内依法向天津市北辰区人民政府申请行政复议</w:t>
      </w:r>
      <w:r>
        <w:rPr>
          <w:rFonts w:hint="eastAsia" w:ascii="仿宋_GB2312" w:hAnsi="Times New Roman" w:eastAsia="仿宋_GB2312" w:cs="仿宋_GB2312"/>
          <w:bCs/>
          <w:sz w:val="32"/>
          <w:szCs w:val="32"/>
          <w:u w:val="none"/>
          <w:lang w:eastAsia="zh-CN"/>
        </w:rPr>
        <w:t>。如</w:t>
      </w:r>
      <w:r>
        <w:rPr>
          <w:rFonts w:hint="eastAsia" w:ascii="仿宋_GB2312" w:hAnsi="Times New Roman" w:eastAsia="仿宋_GB2312" w:cs="仿宋_GB2312"/>
          <w:bCs/>
          <w:sz w:val="32"/>
          <w:szCs w:val="32"/>
          <w:u w:val="none"/>
          <w:lang w:val="en-US" w:eastAsia="zh-CN"/>
        </w:rPr>
        <w:t>对复议决定不服，可以</w:t>
      </w:r>
      <w:r>
        <w:rPr>
          <w:rFonts w:hint="eastAsia" w:ascii="仿宋_GB2312" w:hAnsi="Times New Roman" w:eastAsia="仿宋_GB2312" w:cs="仿宋_GB2312"/>
          <w:bCs/>
          <w:sz w:val="32"/>
          <w:szCs w:val="32"/>
          <w:u w:val="none"/>
        </w:rPr>
        <w:t>依法向</w:t>
      </w:r>
      <w:r>
        <w:rPr>
          <w:rFonts w:hint="eastAsia" w:ascii="仿宋_GB2312" w:hAnsi="Times New Roman" w:eastAsia="仿宋_GB2312" w:cs="仿宋_GB2312"/>
          <w:bCs/>
          <w:sz w:val="32"/>
          <w:szCs w:val="32"/>
          <w:u w:val="none"/>
          <w:lang w:eastAsia="zh-CN"/>
        </w:rPr>
        <w:t>北辰区</w:t>
      </w:r>
      <w:r>
        <w:rPr>
          <w:rFonts w:hint="eastAsia" w:ascii="仿宋_GB2312" w:hAnsi="Times New Roman" w:eastAsia="仿宋_GB2312" w:cs="仿宋_GB2312"/>
          <w:bCs/>
          <w:sz w:val="32"/>
          <w:szCs w:val="32"/>
          <w:u w:val="none"/>
        </w:rPr>
        <w:t>人民法院提起行政诉讼。</w:t>
      </w:r>
      <w:r>
        <w:rPr>
          <w:rFonts w:hint="eastAsia" w:ascii="仿宋_GB2312" w:hAnsi="Times New Roman" w:eastAsia="仿宋_GB2312" w:cs="仿宋_GB2312"/>
          <w:bCs/>
          <w:sz w:val="32"/>
          <w:szCs w:val="32"/>
          <w:u w:val="none"/>
          <w:lang w:eastAsia="zh-CN"/>
        </w:rPr>
        <w:t>申请行政复议或者提起行政诉讼期间，行政处罚不停止执行。</w:t>
      </w:r>
    </w:p>
    <w:p>
      <w:pPr>
        <w:keepNext w:val="0"/>
        <w:keepLines w:val="0"/>
        <w:pageBreakBefore w:val="0"/>
        <w:overflowPunct/>
        <w:topLinePunct w:val="0"/>
        <w:bidi w:val="0"/>
        <w:spacing w:line="410" w:lineRule="exact"/>
        <w:ind w:firstLine="601"/>
        <w:jc w:val="center"/>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overflowPunct/>
        <w:topLinePunct w:val="0"/>
        <w:bidi w:val="0"/>
        <w:spacing w:line="410" w:lineRule="exact"/>
        <w:ind w:firstLine="601"/>
        <w:jc w:val="center"/>
        <w:rPr>
          <w:rFonts w:hint="eastAsia" w:ascii="Times New Roman" w:hAnsi="Times New Roman" w:eastAsia="仿宋_GB2312" w:cs="仿宋"/>
          <w:color w:val="000000"/>
          <w:sz w:val="32"/>
          <w:szCs w:val="32"/>
          <w:u w:val="none"/>
          <w:lang w:val="en-US" w:eastAsia="zh-CN"/>
        </w:rPr>
      </w:pPr>
    </w:p>
    <w:p>
      <w:pPr>
        <w:keepNext w:val="0"/>
        <w:keepLines w:val="0"/>
        <w:pageBreakBefore w:val="0"/>
        <w:overflowPunct/>
        <w:topLinePunct w:val="0"/>
        <w:bidi w:val="0"/>
        <w:spacing w:line="410" w:lineRule="exact"/>
        <w:ind w:firstLine="601"/>
        <w:jc w:val="center"/>
        <w:rPr>
          <w:rFonts w:hint="eastAsia" w:ascii="Times New Roman" w:hAnsi="Times New Roman" w:eastAsia="仿宋_GB2312" w:cs="仿宋"/>
          <w:color w:val="000000"/>
          <w:sz w:val="32"/>
          <w:szCs w:val="32"/>
          <w:u w:val="none"/>
          <w:lang w:val="en-US" w:eastAsia="zh-CN"/>
        </w:rPr>
      </w:pPr>
    </w:p>
    <w:p>
      <w:pPr>
        <w:keepNext w:val="0"/>
        <w:keepLines w:val="0"/>
        <w:pageBreakBefore w:val="0"/>
        <w:overflowPunct/>
        <w:topLinePunct w:val="0"/>
        <w:bidi w:val="0"/>
        <w:spacing w:line="410" w:lineRule="exact"/>
        <w:ind w:firstLine="601"/>
        <w:jc w:val="center"/>
        <w:rPr>
          <w:rFonts w:hint="eastAsia" w:ascii="Times New Roman" w:hAnsi="Times New Roman" w:eastAsia="仿宋_GB2312" w:cs="仿宋"/>
          <w:color w:val="000000"/>
          <w:sz w:val="32"/>
          <w:szCs w:val="32"/>
          <w:u w:val="none"/>
          <w:lang w:val="en-US" w:eastAsia="zh-CN"/>
        </w:rPr>
      </w:pPr>
    </w:p>
    <w:p>
      <w:pPr>
        <w:keepNext w:val="0"/>
        <w:keepLines w:val="0"/>
        <w:pageBreakBefore w:val="0"/>
        <w:overflowPunct/>
        <w:topLinePunct w:val="0"/>
        <w:bidi w:val="0"/>
        <w:spacing w:line="41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overflowPunct/>
        <w:topLinePunct w:val="0"/>
        <w:bidi w:val="0"/>
        <w:spacing w:line="41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天津市北辰区</w:t>
      </w:r>
      <w:r>
        <w:rPr>
          <w:rFonts w:hint="eastAsia" w:ascii="Times New Roman" w:hAnsi="Times New Roman" w:eastAsia="仿宋_GB2312" w:cs="仿宋"/>
          <w:color w:val="000000"/>
          <w:sz w:val="32"/>
          <w:szCs w:val="32"/>
          <w:u w:val="none"/>
        </w:rPr>
        <w:t>市场监督管理局</w:t>
      </w:r>
    </w:p>
    <w:p>
      <w:pPr>
        <w:keepNext w:val="0"/>
        <w:keepLines w:val="0"/>
        <w:pageBreakBefore w:val="0"/>
        <w:overflowPunct/>
        <w:topLinePunct w:val="0"/>
        <w:bidi w:val="0"/>
        <w:spacing w:line="410" w:lineRule="exact"/>
        <w:ind w:right="640" w:firstLine="601"/>
        <w:jc w:val="center"/>
        <w:rPr>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 xml:space="preserve">年 </w:t>
      </w:r>
      <w:r>
        <w:rPr>
          <w:rFonts w:hint="eastAsia" w:ascii="Times New Roman" w:hAnsi="Times New Roman" w:eastAsia="仿宋_GB2312" w:cs="仿宋"/>
          <w:color w:val="000000"/>
          <w:sz w:val="32"/>
          <w:szCs w:val="32"/>
          <w:u w:val="none"/>
          <w:lang w:val="en-US" w:eastAsia="zh-CN"/>
        </w:rPr>
        <w:t>8</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11</w:t>
      </w:r>
      <w:r>
        <w:rPr>
          <w:rFonts w:hint="eastAsia" w:ascii="Times New Roman" w:hAnsi="Times New Roman" w:eastAsia="仿宋_GB2312" w:cs="仿宋"/>
          <w:color w:val="000000"/>
          <w:sz w:val="32"/>
          <w:szCs w:val="32"/>
          <w:u w:val="none"/>
        </w:rPr>
        <w:t>日</w:t>
      </w:r>
    </w:p>
    <w:sectPr>
      <w:pgSz w:w="11906" w:h="16838"/>
      <w:pgMar w:top="136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56AD"/>
    <w:rsid w:val="000E6B9E"/>
    <w:rsid w:val="000E7A0A"/>
    <w:rsid w:val="000F6AB4"/>
    <w:rsid w:val="001774E7"/>
    <w:rsid w:val="001F56AD"/>
    <w:rsid w:val="002A6734"/>
    <w:rsid w:val="002A71B6"/>
    <w:rsid w:val="002B30A4"/>
    <w:rsid w:val="003742B6"/>
    <w:rsid w:val="00397551"/>
    <w:rsid w:val="003A2865"/>
    <w:rsid w:val="003A5212"/>
    <w:rsid w:val="003B4AB2"/>
    <w:rsid w:val="004001C2"/>
    <w:rsid w:val="00474540"/>
    <w:rsid w:val="0049116E"/>
    <w:rsid w:val="00546FA5"/>
    <w:rsid w:val="00554700"/>
    <w:rsid w:val="00573782"/>
    <w:rsid w:val="005C47A8"/>
    <w:rsid w:val="005E404B"/>
    <w:rsid w:val="00697A54"/>
    <w:rsid w:val="007525E0"/>
    <w:rsid w:val="00817ED1"/>
    <w:rsid w:val="008A6D81"/>
    <w:rsid w:val="008B6CBE"/>
    <w:rsid w:val="008E0092"/>
    <w:rsid w:val="00950977"/>
    <w:rsid w:val="009675DD"/>
    <w:rsid w:val="00A135E0"/>
    <w:rsid w:val="00B0408D"/>
    <w:rsid w:val="00B60514"/>
    <w:rsid w:val="00BB6683"/>
    <w:rsid w:val="00BE63A4"/>
    <w:rsid w:val="00BE7959"/>
    <w:rsid w:val="00C536D4"/>
    <w:rsid w:val="00C941D6"/>
    <w:rsid w:val="00CC1C76"/>
    <w:rsid w:val="00D04DD4"/>
    <w:rsid w:val="00DD1F41"/>
    <w:rsid w:val="00E71D52"/>
    <w:rsid w:val="00ED3D96"/>
    <w:rsid w:val="1D7F5680"/>
    <w:rsid w:val="37FDAF99"/>
    <w:rsid w:val="3BF9398D"/>
    <w:rsid w:val="3E77175D"/>
    <w:rsid w:val="577FE101"/>
    <w:rsid w:val="5EB98370"/>
    <w:rsid w:val="6DB69344"/>
    <w:rsid w:val="93DAB92A"/>
    <w:rsid w:val="CF5E2BE2"/>
    <w:rsid w:val="D7BE136E"/>
    <w:rsid w:val="DDEF3114"/>
    <w:rsid w:val="E0EFDD46"/>
    <w:rsid w:val="EBF72A9E"/>
    <w:rsid w:val="F0FF3D5A"/>
    <w:rsid w:val="F2BCF236"/>
    <w:rsid w:val="F4E6CD64"/>
    <w:rsid w:val="FFBF1B3F"/>
    <w:rsid w:val="FFDF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265</TotalTime>
  <ScaleCrop>false</ScaleCrop>
  <LinksUpToDate>false</LinksUpToDate>
  <CharactersWithSpaces>1940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2019-04-04T14:52:00Z</dcterms:created>
  <dc:creator>赵明宇</dc:creator>
  <cp:lastModifiedBy>greatwall</cp:lastModifiedBy>
  <cp:lastPrinted>2022-08-05T23:22:00Z</cp:lastPrinted>
  <dcterms:modified xsi:type="dcterms:W3CDTF">2022-08-15T15:50:48Z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