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360" w:lineRule="auto"/>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360" w:lineRule="auto"/>
        <w:ind w:right="55"/>
        <w:jc w:val="center"/>
        <w:outlineLvl w:val="1"/>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津辰市监</w:t>
      </w:r>
      <w:r>
        <w:rPr>
          <w:rFonts w:hint="eastAsia" w:ascii="仿宋_GB2312" w:hAnsi="仿宋_GB2312" w:eastAsia="仿宋_GB2312" w:cs="仿宋_GB2312"/>
          <w:bCs/>
          <w:color w:val="000000"/>
          <w:sz w:val="32"/>
          <w:szCs w:val="32"/>
          <w:u w:val="none"/>
          <w:lang w:eastAsia="zh-CN"/>
        </w:rPr>
        <w:t>综</w:t>
      </w:r>
      <w:r>
        <w:rPr>
          <w:rFonts w:hint="eastAsia" w:ascii="仿宋_GB2312" w:hAnsi="仿宋_GB2312" w:eastAsia="仿宋_GB2312" w:cs="仿宋_GB2312"/>
          <w:bCs/>
          <w:color w:val="000000"/>
          <w:sz w:val="32"/>
          <w:szCs w:val="32"/>
          <w:u w:val="none"/>
        </w:rPr>
        <w:t>处罚〔202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94</w:t>
      </w:r>
      <w:r>
        <w:rPr>
          <w:rFonts w:hint="eastAsia" w:ascii="仿宋_GB2312" w:hAnsi="仿宋_GB2312" w:eastAsia="仿宋_GB2312" w:cs="仿宋_GB2312"/>
          <w:bCs/>
          <w:color w:val="000000"/>
          <w:sz w:val="32"/>
          <w:szCs w:val="32"/>
          <w:u w:val="none"/>
        </w:rPr>
        <w:t>号</w:t>
      </w:r>
    </w:p>
    <w:p>
      <w:pPr>
        <w:widowControl/>
        <w:snapToGrid w:val="0"/>
        <w:spacing w:line="360" w:lineRule="auto"/>
        <w:ind w:right="55" w:firstLine="5440" w:firstLineChars="1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360" w:lineRule="auto"/>
        <w:ind w:left="140" w:hanging="140"/>
        <w:rPr>
          <w:rFonts w:hint="eastAsia" w:ascii="仿宋_GB2312" w:hAnsi="仿宋_GB2312" w:eastAsia="仿宋_GB2312" w:cs="仿宋_GB2312"/>
          <w:bCs/>
          <w:sz w:val="32"/>
          <w:szCs w:val="32"/>
          <w:u w:val="none"/>
        </w:rPr>
      </w:pPr>
      <w:r>
        <w:rPr>
          <w:rFonts w:hint="eastAsia" w:ascii="仿宋_GB2312" w:hAnsi="仿宋_GB2312" w:eastAsia="仿宋_GB2312" w:cs="仿宋_GB2312"/>
          <w:bCs/>
          <w:kern w:val="1"/>
          <w:sz w:val="32"/>
          <w:szCs w:val="32"/>
        </w:rPr>
        <w:t>当事人：</w:t>
      </w:r>
      <w:r>
        <w:rPr>
          <w:rFonts w:hint="eastAsia" w:ascii="Times New Roman" w:hAnsi="Times New Roman" w:eastAsia="仿宋_GB2312" w:cs="仿宋_GB2312"/>
          <w:sz w:val="32"/>
          <w:szCs w:val="32"/>
          <w:lang w:eastAsia="zh-CN"/>
        </w:rPr>
        <w:t>天津市雅顿商贸有限公司</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kern w:val="1"/>
          <w:sz w:val="32"/>
          <w:szCs w:val="32"/>
          <w:u w:val="none"/>
        </w:rPr>
        <w:t xml:space="preserve">   </w:t>
      </w:r>
    </w:p>
    <w:p>
      <w:pPr>
        <w:spacing w:line="360" w:lineRule="auto"/>
        <w:ind w:left="140" w:hanging="140"/>
        <w:rPr>
          <w:rFonts w:hint="eastAsia" w:ascii="仿宋_GB2312" w:hAnsi="仿宋_GB2312" w:eastAsia="仿宋_GB2312" w:cs="仿宋_GB2312"/>
          <w:kern w:val="1"/>
          <w:sz w:val="32"/>
          <w:szCs w:val="32"/>
          <w:u w:val="single"/>
          <w:lang w:val="en-US" w:eastAsia="zh-CN"/>
        </w:rPr>
      </w:pPr>
      <w:r>
        <w:rPr>
          <w:rFonts w:hint="eastAsia" w:ascii="仿宋_GB2312" w:hAnsi="仿宋_GB2312" w:eastAsia="仿宋_GB2312" w:cs="仿宋_GB2312"/>
          <w:bCs/>
          <w:kern w:val="1"/>
          <w:sz w:val="32"/>
          <w:szCs w:val="32"/>
        </w:rPr>
        <w:t>主体资格证照</w:t>
      </w:r>
      <w:r>
        <w:rPr>
          <w:rFonts w:hint="eastAsia" w:ascii="仿宋_GB2312" w:hAnsi="仿宋_GB2312" w:eastAsia="仿宋_GB2312" w:cs="仿宋_GB2312"/>
          <w:kern w:val="1"/>
          <w:sz w:val="32"/>
          <w:szCs w:val="32"/>
        </w:rPr>
        <w:t>名称：</w:t>
      </w:r>
      <w:r>
        <w:rPr>
          <w:rFonts w:hint="eastAsia" w:ascii="仿宋_GB2312" w:hAnsi="仿宋_GB2312" w:eastAsia="仿宋_GB2312" w:cs="仿宋_GB2312"/>
          <w:spacing w:val="-16"/>
          <w:sz w:val="32"/>
          <w:szCs w:val="32"/>
          <w:lang w:eastAsia="zh-CN"/>
        </w:rPr>
        <w:t>营业执照</w:t>
      </w:r>
    </w:p>
    <w:p>
      <w:pPr>
        <w:spacing w:line="360" w:lineRule="auto"/>
        <w:ind w:left="140" w:hanging="140"/>
        <w:rPr>
          <w:rFonts w:hint="eastAsia" w:ascii="仿宋_GB2312" w:hAnsi="仿宋_GB2312" w:eastAsia="仿宋_GB2312" w:cs="仿宋_GB2312"/>
          <w:kern w:val="1"/>
          <w:sz w:val="32"/>
          <w:szCs w:val="32"/>
          <w:u w:val="single"/>
        </w:rPr>
      </w:pPr>
      <w:r>
        <w:rPr>
          <w:rFonts w:hint="eastAsia" w:ascii="仿宋_GB2312" w:hAnsi="仿宋_GB2312" w:eastAsia="仿宋_GB2312" w:cs="仿宋_GB2312"/>
          <w:kern w:val="1"/>
          <w:sz w:val="32"/>
          <w:szCs w:val="32"/>
        </w:rPr>
        <w:t>统一社会信用代码</w:t>
      </w:r>
      <w:r>
        <w:rPr>
          <w:rFonts w:hint="eastAsia" w:ascii="Times New Roman" w:hAnsi="Times New Roman" w:eastAsia="仿宋_GB2312" w:cs="仿宋_GB2312"/>
          <w:sz w:val="32"/>
          <w:szCs w:val="32"/>
          <w:lang w:eastAsia="zh-CN"/>
        </w:rPr>
        <w:t>：91120103725715396G</w:t>
      </w:r>
    </w:p>
    <w:p>
      <w:pPr>
        <w:spacing w:line="360" w:lineRule="auto"/>
        <w:rPr>
          <w:rFonts w:hint="eastAsia" w:ascii="仿宋_GB2312" w:hAnsi="仿宋_GB2312" w:eastAsia="仿宋_GB2312" w:cs="仿宋_GB2312"/>
          <w:spacing w:val="-16"/>
          <w:sz w:val="32"/>
          <w:szCs w:val="32"/>
        </w:rPr>
      </w:pPr>
      <w:r>
        <w:rPr>
          <w:rFonts w:hint="eastAsia" w:ascii="仿宋_GB2312" w:hAnsi="仿宋_GB2312" w:eastAsia="仿宋_GB2312" w:cs="仿宋_GB2312"/>
          <w:kern w:val="1"/>
          <w:sz w:val="32"/>
          <w:szCs w:val="32"/>
        </w:rPr>
        <w:t>经营场所：</w:t>
      </w:r>
      <w:r>
        <w:rPr>
          <w:rFonts w:hint="eastAsia" w:ascii="Times New Roman" w:hAnsi="Times New Roman" w:eastAsia="仿宋_GB2312" w:cs="仿宋_GB2312"/>
          <w:sz w:val="32"/>
          <w:szCs w:val="32"/>
          <w:lang w:eastAsia="zh-CN"/>
        </w:rPr>
        <w:t>天津市河西区友谊路与黑牛城道交口西北侧友谊大厦3-1101</w:t>
      </w:r>
    </w:p>
    <w:p>
      <w:pPr>
        <w:spacing w:line="360" w:lineRule="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rPr>
        <w:t>法定代表人：</w:t>
      </w:r>
      <w:r>
        <w:rPr>
          <w:rFonts w:hint="eastAsia" w:ascii="仿宋_GB2312" w:hAnsi="仿宋_GB2312" w:eastAsia="仿宋_GB2312" w:cs="仿宋_GB2312"/>
          <w:kern w:val="1"/>
          <w:sz w:val="32"/>
          <w:szCs w:val="32"/>
          <w:lang w:eastAsia="zh-CN"/>
        </w:rPr>
        <w:t>刘爱茹</w:t>
      </w:r>
    </w:p>
    <w:p>
      <w:pPr>
        <w:tabs>
          <w:tab w:val="left" w:pos="9060"/>
        </w:tabs>
        <w:autoSpaceDE w:val="0"/>
        <w:autoSpaceDN w:val="0"/>
        <w:adjustRightInd w:val="0"/>
        <w:spacing w:line="360" w:lineRule="auto"/>
        <w:ind w:firstLine="437" w:firstLineChars="196"/>
        <w:jc w:val="left"/>
        <w:rPr>
          <w:rFonts w:hint="eastAsia" w:ascii="仿宋_GB2312" w:hAnsi="仿宋_GB2312" w:eastAsia="仿宋_GB2312" w:cs="仿宋_GB2312"/>
          <w:b/>
          <w:strike/>
          <w:color w:val="231F20"/>
          <w:spacing w:val="-49"/>
          <w:kern w:val="0"/>
          <w:sz w:val="32"/>
          <w:szCs w:val="32"/>
        </w:rPr>
      </w:pPr>
    </w:p>
    <w:p>
      <w:pPr>
        <w:keepNext w:val="0"/>
        <w:keepLines w:val="0"/>
        <w:pageBreakBefore w:val="0"/>
        <w:widowControl w:val="0"/>
        <w:kinsoku/>
        <w:wordWrap/>
        <w:overflowPunct/>
        <w:topLinePunct w:val="0"/>
        <w:bidi w:val="0"/>
        <w:snapToGrid/>
        <w:spacing w:line="360" w:lineRule="auto"/>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w:t>
      </w:r>
      <w:r>
        <w:rPr>
          <w:rFonts w:hint="eastAsia" w:ascii="Times New Roman" w:hAnsi="Times New Roman" w:eastAsia="仿宋_GB2312" w:cs="仿宋_GB2312"/>
          <w:sz w:val="32"/>
          <w:szCs w:val="32"/>
          <w:lang w:val="en-US" w:eastAsia="zh-CN"/>
        </w:rPr>
        <w:t>2022年7月7日，我局执法人员前往当事人位于天津市北辰区小淀镇小淀物流园5号库的仓库进行现场检查。现场检查时，当事人员工冯金明正驾驶电动叉车（产品编号：05020DE3238）进行货物装卸。经查，当事人现场无法提供涉案叉车的检验报告</w:t>
      </w:r>
      <w:r>
        <w:rPr>
          <w:rFonts w:hint="eastAsia" w:ascii="Times New Roman" w:hAnsi="Times New Roman" w:eastAsia="仿宋_GB2312" w:cs="仿宋_GB2312"/>
          <w:sz w:val="32"/>
          <w:szCs w:val="32"/>
          <w:lang w:eastAsia="zh-CN"/>
        </w:rPr>
        <w:t>。执法人员当场下达《特种设备安全监察指令书》（津辰市监特令[20</w:t>
      </w:r>
      <w:r>
        <w:rPr>
          <w:rFonts w:hint="eastAsia" w:ascii="Times New Roman" w:hAnsi="Times New Roman" w:eastAsia="仿宋_GB2312" w:cs="仿宋_GB2312"/>
          <w:sz w:val="32"/>
          <w:szCs w:val="32"/>
          <w:lang w:val="en-US" w:eastAsia="zh-CN"/>
        </w:rPr>
        <w:t>22</w:t>
      </w:r>
      <w:r>
        <w:rPr>
          <w:rFonts w:hint="eastAsia" w:ascii="Times New Roman" w:hAnsi="Times New Roman" w:eastAsia="仿宋_GB2312" w:cs="仿宋_GB2312"/>
          <w:sz w:val="32"/>
          <w:szCs w:val="32"/>
          <w:lang w:eastAsia="zh-CN"/>
        </w:rPr>
        <w:t>]第综</w:t>
      </w:r>
      <w:r>
        <w:rPr>
          <w:rFonts w:hint="eastAsia" w:ascii="Times New Roman" w:hAnsi="Times New Roman" w:eastAsia="仿宋_GB2312" w:cs="仿宋_GB2312"/>
          <w:sz w:val="32"/>
          <w:szCs w:val="32"/>
          <w:lang w:val="en-US" w:eastAsia="zh-CN"/>
        </w:rPr>
        <w:t>07</w:t>
      </w:r>
      <w:r>
        <w:rPr>
          <w:rFonts w:hint="eastAsia" w:ascii="Times New Roman" w:hAnsi="Times New Roman" w:eastAsia="仿宋_GB2312" w:cs="仿宋_GB2312"/>
          <w:sz w:val="32"/>
          <w:szCs w:val="32"/>
          <w:lang w:eastAsia="zh-CN"/>
        </w:rPr>
        <w:t>号），责令当事人立即停止使用上述叉车。</w:t>
      </w:r>
      <w:r>
        <w:rPr>
          <w:rFonts w:hint="eastAsia" w:ascii="Times New Roman" w:hAnsi="Times New Roman" w:eastAsia="仿宋_GB2312" w:cs="仿宋_GB2312"/>
          <w:sz w:val="32"/>
          <w:szCs w:val="32"/>
          <w:lang w:val="en-US" w:eastAsia="zh-CN"/>
        </w:rPr>
        <w:t>2022年7月7日，执法人员报经局领导批准，予以立案调查。</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eastAsia" w:ascii="Times New Roman" w:hAnsi="Times New Roman" w:eastAsia="仿宋_GB2312" w:cs="仿宋_GB2312"/>
          <w:sz w:val="32"/>
          <w:szCs w:val="32"/>
          <w:lang w:eastAsia="zh-CN"/>
        </w:rPr>
        <w:t>自</w:t>
      </w:r>
      <w:r>
        <w:rPr>
          <w:rFonts w:hint="eastAsia" w:ascii="Times New Roman" w:hAnsi="Times New Roman" w:eastAsia="仿宋_GB2312" w:cs="仿宋_GB2312"/>
          <w:sz w:val="32"/>
          <w:szCs w:val="32"/>
          <w:lang w:val="en-US" w:eastAsia="zh-CN"/>
        </w:rPr>
        <w:t>2021年，当事人在未进行特种设备检验的情况下，使用自行</w:t>
      </w:r>
      <w:r>
        <w:rPr>
          <w:rFonts w:hint="eastAsia" w:ascii="Times New Roman" w:hAnsi="Times New Roman" w:eastAsia="仿宋_GB2312" w:cs="仿宋_GB2312"/>
          <w:sz w:val="32"/>
          <w:szCs w:val="32"/>
          <w:lang w:eastAsia="zh-CN"/>
        </w:rPr>
        <w:t>购买</w:t>
      </w:r>
      <w:r>
        <w:rPr>
          <w:rFonts w:hint="eastAsia" w:ascii="Times New Roman" w:hAnsi="Times New Roman" w:eastAsia="仿宋_GB2312" w:cs="仿宋_GB2312"/>
          <w:sz w:val="32"/>
          <w:szCs w:val="32"/>
          <w:lang w:val="en-US" w:eastAsia="zh-CN"/>
        </w:rPr>
        <w:t>的蓄电池平衡重式叉车（产品编号：05020DE3238），在北辰区小淀镇小淀物流园5号库的当事人仓库从事货物装卸工作。2022年7月7日，被我局执法人员发现。</w:t>
      </w:r>
    </w:p>
    <w:p>
      <w:pPr>
        <w:keepNext w:val="0"/>
        <w:keepLines w:val="0"/>
        <w:pageBreakBefore w:val="0"/>
        <w:widowControl w:val="0"/>
        <w:numPr>
          <w:ilvl w:val="0"/>
          <w:numId w:val="0"/>
        </w:numPr>
        <w:kinsoku/>
        <w:wordWrap/>
        <w:overflowPunct/>
        <w:topLinePunct w:val="0"/>
        <w:bidi w:val="0"/>
        <w:snapToGrid/>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rPr>
        <w:t>上述事实，主要有以下证据证明：</w:t>
      </w:r>
      <w:r>
        <w:rPr>
          <w:rFonts w:hint="eastAsia" w:ascii="仿宋_GB2312" w:hAnsi="仿宋_GB2312" w:eastAsia="仿宋_GB2312" w:cs="仿宋_GB2312"/>
          <w:sz w:val="32"/>
          <w:szCs w:val="32"/>
        </w:rPr>
        <w:t xml:space="preserve"> </w:t>
      </w:r>
    </w:p>
    <w:p>
      <w:pPr>
        <w:numPr>
          <w:ilvl w:val="0"/>
          <w:numId w:val="0"/>
        </w:numPr>
        <w:spacing w:line="520" w:lineRule="exact"/>
        <w:rPr>
          <w:rFonts w:hint="default" w:ascii="Times New Roman" w:hAnsi="Times New Roman"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当事人营业执照复印件</w:t>
      </w:r>
      <w:r>
        <w:rPr>
          <w:rFonts w:hint="eastAsia" w:ascii="Times New Roman" w:hAnsi="Times New Roman" w:eastAsia="仿宋_GB2312" w:cs="仿宋_GB2312"/>
          <w:sz w:val="32"/>
          <w:szCs w:val="32"/>
          <w:lang w:eastAsia="zh-CN"/>
        </w:rPr>
        <w:t>、法定代表人刘爱茹身份证复印件</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证明</w:t>
      </w:r>
      <w:r>
        <w:rPr>
          <w:rFonts w:hint="eastAsia" w:ascii="Times New Roman" w:hAnsi="Times New Roman" w:eastAsia="仿宋_GB2312" w:cs="仿宋_GB2312"/>
          <w:sz w:val="32"/>
          <w:szCs w:val="32"/>
        </w:rPr>
        <w:t>当事人的主体资格；</w:t>
      </w:r>
    </w:p>
    <w:p>
      <w:pPr>
        <w:spacing w:line="520" w:lineRule="exact"/>
        <w:ind w:firstLine="640" w:firstLineChars="200"/>
        <w:rPr>
          <w:rFonts w:hint="eastAsia" w:ascii="Times New Roman" w:hAnsi="Times New Roman" w:eastAsia="仿宋_GB2312" w:cs="仿宋_GB2312"/>
          <w:sz w:val="32"/>
          <w:szCs w:val="32"/>
          <w:lang w:eastAsia="zh-CN"/>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2022年7月7日对当事人制作的</w:t>
      </w:r>
      <w:r>
        <w:rPr>
          <w:rFonts w:hint="eastAsia" w:ascii="Times New Roman" w:hAnsi="Times New Roman" w:eastAsia="仿宋_GB2312" w:cs="仿宋_GB2312"/>
          <w:sz w:val="32"/>
          <w:szCs w:val="32"/>
        </w:rPr>
        <w:t>现场笔录、</w:t>
      </w:r>
      <w:r>
        <w:rPr>
          <w:rFonts w:hint="eastAsia" w:ascii="Times New Roman" w:hAnsi="Times New Roman" w:eastAsia="仿宋_GB2312" w:cs="仿宋_GB2312"/>
          <w:sz w:val="32"/>
          <w:szCs w:val="32"/>
          <w:lang w:val="en-US" w:eastAsia="zh-CN"/>
        </w:rPr>
        <w:t>2022年7月7日对当事人制作的</w:t>
      </w:r>
      <w:r>
        <w:rPr>
          <w:rFonts w:hint="eastAsia" w:ascii="Times New Roman" w:hAnsi="Times New Roman" w:eastAsia="仿宋_GB2312" w:cs="仿宋_GB2312"/>
          <w:sz w:val="32"/>
          <w:szCs w:val="32"/>
        </w:rPr>
        <w:t>特种设备现场安全监督检查记录、现场检查视频光盘、现场照片，证明当事人使用未经检验的叉车开展食品装卸的现场情况</w:t>
      </w:r>
      <w:r>
        <w:rPr>
          <w:rFonts w:hint="eastAsia" w:ascii="Times New Roman" w:hAnsi="Times New Roman" w:eastAsia="仿宋_GB2312" w:cs="仿宋_GB2312"/>
          <w:sz w:val="32"/>
          <w:szCs w:val="32"/>
          <w:lang w:eastAsia="zh-CN"/>
        </w:rPr>
        <w:t>；</w:t>
      </w:r>
    </w:p>
    <w:p>
      <w:pPr>
        <w:spacing w:line="52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《特种设备安全监察指令书》</w:t>
      </w:r>
      <w:r>
        <w:rPr>
          <w:rFonts w:hint="eastAsia" w:ascii="Times New Roman" w:hAnsi="Times New Roman" w:eastAsia="仿宋_GB2312" w:cs="仿宋_GB2312"/>
          <w:sz w:val="32"/>
          <w:szCs w:val="32"/>
          <w:lang w:eastAsia="zh-CN"/>
        </w:rPr>
        <w:t>（津辰市监监特令[20</w:t>
      </w:r>
      <w:r>
        <w:rPr>
          <w:rFonts w:hint="eastAsia" w:ascii="Times New Roman" w:hAnsi="Times New Roman" w:eastAsia="仿宋_GB2312" w:cs="仿宋_GB2312"/>
          <w:sz w:val="32"/>
          <w:szCs w:val="32"/>
          <w:lang w:val="en-US" w:eastAsia="zh-CN"/>
        </w:rPr>
        <w:t>22</w:t>
      </w:r>
      <w:r>
        <w:rPr>
          <w:rFonts w:hint="eastAsia" w:ascii="Times New Roman" w:hAnsi="Times New Roman" w:eastAsia="仿宋_GB2312" w:cs="仿宋_GB2312"/>
          <w:sz w:val="32"/>
          <w:szCs w:val="32"/>
          <w:lang w:eastAsia="zh-CN"/>
        </w:rPr>
        <w:t>]第综</w:t>
      </w:r>
      <w:r>
        <w:rPr>
          <w:rFonts w:hint="eastAsia" w:ascii="Times New Roman" w:hAnsi="Times New Roman" w:eastAsia="仿宋_GB2312" w:cs="仿宋_GB2312"/>
          <w:sz w:val="32"/>
          <w:szCs w:val="32"/>
          <w:lang w:val="en-US" w:eastAsia="zh-CN"/>
        </w:rPr>
        <w:t>07</w:t>
      </w:r>
      <w:r>
        <w:rPr>
          <w:rFonts w:hint="eastAsia" w:ascii="Times New Roman" w:hAnsi="Times New Roman" w:eastAsia="仿宋_GB2312" w:cs="仿宋_GB2312"/>
          <w:sz w:val="32"/>
          <w:szCs w:val="32"/>
          <w:lang w:eastAsia="zh-CN"/>
        </w:rPr>
        <w:t>号）</w:t>
      </w:r>
      <w:r>
        <w:rPr>
          <w:rFonts w:hint="eastAsia" w:ascii="Times New Roman" w:hAnsi="Times New Roman" w:eastAsia="仿宋_GB2312" w:cs="仿宋_GB2312"/>
          <w:sz w:val="32"/>
          <w:szCs w:val="32"/>
          <w:lang w:val="en-US" w:eastAsia="zh-CN"/>
        </w:rPr>
        <w:t>，证明执法人员依法履行法定义务，执法程序符合法律规定的事实</w:t>
      </w:r>
      <w:r>
        <w:rPr>
          <w:rFonts w:hint="eastAsia" w:ascii="Times New Roman" w:hAnsi="Times New Roman" w:eastAsia="仿宋_GB2312" w:cs="仿宋_GB2312"/>
          <w:sz w:val="32"/>
          <w:szCs w:val="32"/>
          <w:lang w:eastAsia="zh-CN"/>
        </w:rPr>
        <w:t>；</w:t>
      </w:r>
      <w:bookmarkStart w:id="3" w:name="_GoBack"/>
      <w:bookmarkEnd w:id="3"/>
    </w:p>
    <w:p>
      <w:pPr>
        <w:spacing w:line="52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lang w:eastAsia="zh-CN"/>
        </w:rPr>
        <w:t>法定代表人刘爱茹</w:t>
      </w:r>
      <w:r>
        <w:rPr>
          <w:rFonts w:hint="eastAsia" w:ascii="Times New Roman" w:hAnsi="Times New Roman" w:eastAsia="仿宋_GB2312" w:cs="仿宋_GB2312"/>
          <w:sz w:val="32"/>
          <w:szCs w:val="32"/>
          <w:lang w:val="en-US" w:eastAsia="zh-CN"/>
        </w:rPr>
        <w:t>的询问笔录，证明当事人使用未经检验叉车的事实情节。</w:t>
      </w:r>
    </w:p>
    <w:p>
      <w:pPr>
        <w:spacing w:line="520" w:lineRule="exact"/>
        <w:rPr>
          <w:rFonts w:hint="eastAsia" w:ascii="Times New Roman" w:hAnsi="Times New Roman" w:eastAsia="仿宋_GB2312" w:cs="仿宋_GB2312"/>
          <w:sz w:val="32"/>
          <w:szCs w:val="32"/>
          <w:lang w:val="en" w:eastAsia="zh-CN"/>
        </w:rPr>
      </w:pPr>
      <w:r>
        <w:rPr>
          <w:rFonts w:hint="eastAsia" w:ascii="Times New Roman" w:hAnsi="Times New Roman" w:eastAsia="仿宋_GB2312" w:cs="仿宋_GB2312"/>
          <w:sz w:val="32"/>
          <w:szCs w:val="32"/>
          <w:lang w:val="en-US" w:eastAsia="zh-CN"/>
        </w:rPr>
        <w:t xml:space="preserve">    5.2022年7月11日对当事人制作的</w:t>
      </w:r>
      <w:r>
        <w:rPr>
          <w:rFonts w:hint="eastAsia" w:ascii="Times New Roman" w:hAnsi="Times New Roman" w:eastAsia="仿宋_GB2312" w:cs="仿宋_GB2312"/>
          <w:sz w:val="32"/>
          <w:szCs w:val="32"/>
        </w:rPr>
        <w:t>现场笔录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2022年7月11日对当事人制作的</w:t>
      </w:r>
      <w:r>
        <w:rPr>
          <w:rFonts w:hint="eastAsia" w:ascii="Times New Roman" w:hAnsi="Times New Roman" w:eastAsia="仿宋_GB2312" w:cs="仿宋_GB2312"/>
          <w:sz w:val="32"/>
          <w:szCs w:val="32"/>
        </w:rPr>
        <w:t>特种设备现场安全监督检查记录</w:t>
      </w:r>
      <w:r>
        <w:rPr>
          <w:rFonts w:hint="eastAsia" w:ascii="Times New Roman" w:hAnsi="Times New Roman" w:eastAsia="仿宋_GB2312" w:cs="仿宋_GB2312"/>
          <w:sz w:val="32"/>
          <w:szCs w:val="32"/>
          <w:lang w:eastAsia="zh-CN"/>
        </w:rPr>
        <w:t>，证明当事人积极整改的行为。</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本局于2022年7月19日依法向当事人送达了行政处罚告知书（津辰市监综罚告[2022]94号），告知当事人拟作出行政处罚的事实、理由、依据、内容及依法享有的权利。</w:t>
      </w:r>
      <w:r>
        <w:rPr>
          <w:rFonts w:hint="eastAsia" w:ascii="仿宋_GB2312" w:hAnsi="仿宋_GB2312" w:eastAsia="仿宋_GB2312" w:cs="仿宋_GB2312"/>
          <w:color w:val="000000"/>
          <w:kern w:val="0"/>
          <w:sz w:val="32"/>
          <w:szCs w:val="32"/>
          <w:u w:val="none"/>
        </w:rPr>
        <w:t>当事人</w:t>
      </w:r>
      <w:r>
        <w:rPr>
          <w:rFonts w:hint="eastAsia" w:ascii="仿宋_GB2312" w:hAnsi="仿宋_GB2312" w:eastAsia="仿宋_GB2312" w:cs="仿宋_GB2312"/>
          <w:color w:val="000000"/>
          <w:kern w:val="0"/>
          <w:sz w:val="32"/>
          <w:szCs w:val="32"/>
          <w:u w:val="none"/>
          <w:lang w:eastAsia="zh-CN"/>
        </w:rPr>
        <w:t>在法定期限内未提出陈述、申辩意见。</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本局认为，当事人上述行为违反了</w:t>
      </w:r>
      <w:r>
        <w:rPr>
          <w:rFonts w:hint="eastAsia" w:ascii="仿宋_GB2312" w:eastAsia="仿宋_GB2312" w:cs="仿宋_GB2312"/>
          <w:kern w:val="1"/>
          <w:sz w:val="32"/>
          <w:szCs w:val="32"/>
          <w:lang w:eastAsia="zh-CN"/>
        </w:rPr>
        <w:t>《中华人民共和国特种设备安全法》第四十条第三款“未经定期检验或者检验不合格的特种设备，不得继续使用。”的规定，依据《中华人民共和国特种设备安全法》第八十四条第一项：“违反本法规定，特种设备使用单位有下列行为之一的，责令停止使用有关特种设备，处三万元以上三十万元以下罚款：（一）使用未取得许可生产，未经检验或者检验不合格的特种设备，或者国家明令淘汰、已经报废的特种设备的”</w:t>
      </w:r>
      <w:r>
        <w:rPr>
          <w:rFonts w:hint="eastAsia" w:ascii="Times New Roman" w:hAnsi="Times New Roman" w:eastAsia="仿宋_GB2312" w:cs="仿宋_GB2312"/>
          <w:sz w:val="32"/>
          <w:szCs w:val="32"/>
          <w:lang w:val="en-US" w:eastAsia="zh-CN"/>
        </w:rPr>
        <w:t>的规定进行处罚。</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r>
        <w:rPr>
          <w:rFonts w:hint="eastAsia" w:ascii="仿宋_GB2312" w:eastAsia="仿宋_GB2312" w:cs="仿宋_GB2312"/>
          <w:kern w:val="1"/>
          <w:sz w:val="32"/>
          <w:szCs w:val="32"/>
        </w:rPr>
        <w:t>当事人在案发后立即停止使用未经检验的叉车</w:t>
      </w:r>
      <w:r>
        <w:rPr>
          <w:rFonts w:hint="eastAsia" w:ascii="仿宋_GB2312" w:eastAsia="仿宋_GB2312" w:cs="仿宋_GB2312"/>
          <w:kern w:val="1"/>
          <w:sz w:val="32"/>
          <w:szCs w:val="32"/>
          <w:lang w:eastAsia="zh-CN"/>
        </w:rPr>
        <w:t>，</w:t>
      </w:r>
      <w:r>
        <w:rPr>
          <w:rFonts w:hint="eastAsia" w:ascii="仿宋_GB2312" w:eastAsia="仿宋_GB2312" w:cs="仿宋_GB2312"/>
          <w:kern w:val="1"/>
          <w:sz w:val="32"/>
          <w:szCs w:val="32"/>
        </w:rPr>
        <w:t>并积极配合案件调查，</w:t>
      </w:r>
      <w:r>
        <w:rPr>
          <w:rFonts w:hint="eastAsia" w:ascii="仿宋_GB2312" w:eastAsia="仿宋_GB2312" w:cs="仿宋_GB2312"/>
          <w:kern w:val="1"/>
          <w:sz w:val="32"/>
          <w:szCs w:val="32"/>
          <w:lang w:eastAsia="zh-CN"/>
        </w:rPr>
        <w:t>且</w:t>
      </w:r>
      <w:r>
        <w:rPr>
          <w:rFonts w:hint="eastAsia" w:ascii="仿宋_GB2312" w:eastAsia="仿宋_GB2312" w:cs="仿宋_GB2312"/>
          <w:kern w:val="1"/>
          <w:sz w:val="32"/>
          <w:szCs w:val="32"/>
        </w:rPr>
        <w:t>其违法行为未造成危害后果。</w:t>
      </w:r>
      <w:r>
        <w:rPr>
          <w:rFonts w:hint="eastAsia" w:ascii="Times New Roman" w:hAnsi="Times New Roman" w:eastAsia="仿宋_GB2312" w:cs="仿宋_GB2312"/>
          <w:color w:val="000000"/>
          <w:kern w:val="0"/>
          <w:sz w:val="32"/>
          <w:szCs w:val="32"/>
          <w:u w:val="none" w:color="auto"/>
          <w:lang w:val="en-US" w:eastAsia="zh-CN"/>
        </w:rPr>
        <w:t>依据</w:t>
      </w:r>
      <w:r>
        <w:rPr>
          <w:rFonts w:hint="eastAsia" w:ascii="仿宋_GB2312" w:eastAsia="仿宋_GB2312" w:cs="仿宋_GB2312"/>
          <w:kern w:val="1"/>
          <w:sz w:val="32"/>
          <w:szCs w:val="32"/>
        </w:rPr>
        <w:t>《天津市市场</w:t>
      </w:r>
      <w:r>
        <w:rPr>
          <w:rFonts w:hint="eastAsia" w:ascii="仿宋_GB2312" w:eastAsia="仿宋_GB2312" w:cs="仿宋_GB2312"/>
          <w:kern w:val="1"/>
          <w:sz w:val="32"/>
          <w:szCs w:val="32"/>
          <w:lang w:eastAsia="zh-CN"/>
        </w:rPr>
        <w:t>和</w:t>
      </w:r>
      <w:r>
        <w:rPr>
          <w:rFonts w:hint="eastAsia" w:ascii="仿宋_GB2312" w:eastAsia="仿宋_GB2312" w:cs="仿宋_GB2312"/>
          <w:kern w:val="1"/>
          <w:sz w:val="32"/>
          <w:szCs w:val="32"/>
        </w:rPr>
        <w:t>质量监督管理委员会行政处罚裁量适用规则》第十三条第五项的规定</w:t>
      </w:r>
      <w:r>
        <w:rPr>
          <w:rFonts w:hint="eastAsia" w:ascii="仿宋_GB2312" w:eastAsia="仿宋_GB2312" w:cs="仿宋_GB2312"/>
          <w:kern w:val="1"/>
          <w:sz w:val="32"/>
          <w:szCs w:val="32"/>
          <w:lang w:eastAsia="zh-CN"/>
        </w:rPr>
        <w:t>，本局</w:t>
      </w:r>
      <w:r>
        <w:rPr>
          <w:rFonts w:hint="eastAsia" w:ascii="仿宋_GB2312" w:eastAsia="仿宋_GB2312" w:cs="仿宋_GB2312"/>
          <w:kern w:val="1"/>
          <w:sz w:val="32"/>
          <w:szCs w:val="32"/>
        </w:rPr>
        <w:t>予</w:t>
      </w:r>
      <w:r>
        <w:rPr>
          <w:rFonts w:hint="eastAsia" w:ascii="仿宋_GB2312" w:eastAsia="仿宋_GB2312" w:cs="仿宋_GB2312"/>
          <w:kern w:val="1"/>
          <w:sz w:val="32"/>
          <w:szCs w:val="32"/>
          <w:lang w:eastAsia="zh-CN"/>
        </w:rPr>
        <w:t>从减</w:t>
      </w:r>
      <w:r>
        <w:rPr>
          <w:rFonts w:hint="eastAsia" w:ascii="仿宋_GB2312" w:eastAsia="仿宋_GB2312" w:cs="仿宋_GB2312"/>
          <w:kern w:val="1"/>
          <w:sz w:val="32"/>
          <w:szCs w:val="32"/>
        </w:rPr>
        <w:t>轻处罚。</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综上，当事人上述行为违了</w:t>
      </w:r>
      <w:r>
        <w:rPr>
          <w:rFonts w:hint="eastAsia" w:ascii="仿宋_GB2312" w:eastAsia="仿宋_GB2312" w:cs="仿宋_GB2312"/>
          <w:kern w:val="1"/>
          <w:sz w:val="32"/>
          <w:szCs w:val="32"/>
          <w:lang w:eastAsia="zh-CN"/>
        </w:rPr>
        <w:t>《中华人民共和国特种设备安全法》第四十条第三款</w:t>
      </w:r>
      <w:r>
        <w:rPr>
          <w:rFonts w:hint="eastAsia" w:ascii="Times New Roman" w:hAnsi="Times New Roman" w:eastAsia="仿宋_GB2312" w:cs="仿宋_GB2312"/>
          <w:sz w:val="32"/>
          <w:szCs w:val="32"/>
          <w:lang w:val="en-US" w:eastAsia="zh-CN"/>
        </w:rPr>
        <w:t>的规定，依据</w:t>
      </w:r>
      <w:r>
        <w:rPr>
          <w:rFonts w:hint="eastAsia" w:ascii="仿宋_GB2312" w:eastAsia="仿宋_GB2312" w:cs="仿宋_GB2312"/>
          <w:kern w:val="1"/>
          <w:sz w:val="32"/>
          <w:szCs w:val="32"/>
          <w:lang w:eastAsia="zh-CN"/>
        </w:rPr>
        <w:t>《中华人民共和国特种设备安全法》第八十四条第一项</w:t>
      </w:r>
      <w:r>
        <w:rPr>
          <w:rFonts w:hint="eastAsia" w:ascii="Times New Roman" w:hAnsi="Times New Roman" w:eastAsia="仿宋_GB2312" w:cs="仿宋_GB2312"/>
          <w:sz w:val="32"/>
          <w:szCs w:val="32"/>
          <w:lang w:val="en-US" w:eastAsia="zh-CN"/>
        </w:rPr>
        <w:t>的规定，现责令当事人立即改正上述违法行为，并决定处罚如下：</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罚款10000元。                       </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36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36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360" w:lineRule="auto"/>
        <w:jc w:val="left"/>
        <w:rPr>
          <w:rFonts w:hint="eastAsia" w:ascii="仿宋_GB2312" w:hAnsi="仿宋_GB2312" w:eastAsia="仿宋_GB2312" w:cs="仿宋_GB2312"/>
          <w:kern w:val="1"/>
          <w:sz w:val="32"/>
          <w:szCs w:val="32"/>
        </w:rPr>
      </w:pPr>
    </w:p>
    <w:p>
      <w:pPr>
        <w:tabs>
          <w:tab w:val="left" w:pos="9060"/>
        </w:tabs>
        <w:autoSpaceDE w:val="0"/>
        <w:autoSpaceDN w:val="0"/>
        <w:adjustRightInd w:val="0"/>
        <w:spacing w:line="360" w:lineRule="auto"/>
        <w:jc w:val="left"/>
        <w:rPr>
          <w:rFonts w:hint="eastAsia" w:ascii="仿宋_GB2312" w:hAnsi="仿宋_GB2312" w:eastAsia="仿宋_GB2312" w:cs="仿宋_GB2312"/>
          <w:kern w:val="1"/>
          <w:sz w:val="32"/>
          <w:szCs w:val="32"/>
        </w:rPr>
      </w:pPr>
    </w:p>
    <w:p>
      <w:pPr>
        <w:spacing w:line="360" w:lineRule="auto"/>
        <w:ind w:right="640" w:firstLine="601"/>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spacing w:line="360" w:lineRule="auto"/>
        <w:ind w:right="1280" w:firstLine="600"/>
        <w:jc w:val="center"/>
        <w:rPr>
          <w:rFonts w:hint="eastAsia" w:ascii="仿宋_GB2312" w:hAnsi="Times New Roman" w:eastAsia="仿宋_GB2312"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rPr>
        <w:t>日</w:t>
      </w:r>
    </w:p>
    <w:p>
      <w:pPr>
        <w:spacing w:line="360" w:lineRule="auto"/>
        <w:ind w:right="1280" w:firstLine="600"/>
        <w:jc w:val="center"/>
        <w:rPr>
          <w:rFonts w:hint="eastAsia" w:ascii="仿宋_GB2312" w:hAnsi="Times New Roman" w:eastAsia="仿宋_GB2312" w:cs="仿宋"/>
          <w:color w:val="000000"/>
          <w:sz w:val="32"/>
          <w:szCs w:val="32"/>
          <w:lang w:val="en-US" w:eastAsia="zh-CN"/>
        </w:rPr>
      </w:pPr>
    </w:p>
    <w:p>
      <w:pPr>
        <w:spacing w:line="360" w:lineRule="auto"/>
        <w:ind w:right="1280" w:firstLine="600"/>
        <w:jc w:val="center"/>
        <w:rPr>
          <w:rFonts w:hint="default" w:ascii="仿宋_GB2312" w:hAnsi="Times New Roman" w:eastAsia="仿宋_GB2312" w:cs="仿宋"/>
          <w:color w:val="000000"/>
          <w:sz w:val="32"/>
          <w:szCs w:val="32"/>
          <w:lang w:val="en-US" w:eastAsia="zh-CN"/>
        </w:rPr>
      </w:pPr>
    </w:p>
    <w:p>
      <w:pPr>
        <w:spacing w:line="500" w:lineRule="exact"/>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32D44116"/>
    <w:rsid w:val="336605F6"/>
    <w:rsid w:val="37B280F0"/>
    <w:rsid w:val="421FC25D"/>
    <w:rsid w:val="435F25C5"/>
    <w:rsid w:val="4EBF8D72"/>
    <w:rsid w:val="4FFBC54C"/>
    <w:rsid w:val="57D5CF1E"/>
    <w:rsid w:val="5DF754C9"/>
    <w:rsid w:val="6EDE64E2"/>
    <w:rsid w:val="6FBE3B48"/>
    <w:rsid w:val="6FED243E"/>
    <w:rsid w:val="737CBA5A"/>
    <w:rsid w:val="76FB9EDF"/>
    <w:rsid w:val="77CFD880"/>
    <w:rsid w:val="787D33D7"/>
    <w:rsid w:val="7AAF8177"/>
    <w:rsid w:val="7B392B99"/>
    <w:rsid w:val="7B7A6319"/>
    <w:rsid w:val="7D6AFE5F"/>
    <w:rsid w:val="7DDBC773"/>
    <w:rsid w:val="7F7B48CB"/>
    <w:rsid w:val="7FFF7EE2"/>
    <w:rsid w:val="A2F743DF"/>
    <w:rsid w:val="B3FB37EA"/>
    <w:rsid w:val="B9FEFB4E"/>
    <w:rsid w:val="BBAE2427"/>
    <w:rsid w:val="BFDE5DB3"/>
    <w:rsid w:val="DB3F000F"/>
    <w:rsid w:val="DB8FF15F"/>
    <w:rsid w:val="DFDF3058"/>
    <w:rsid w:val="EEF681B8"/>
    <w:rsid w:val="F59FB5B8"/>
    <w:rsid w:val="F7F2969B"/>
    <w:rsid w:val="F9B699E6"/>
    <w:rsid w:val="FB3560CB"/>
    <w:rsid w:val="FBF79080"/>
    <w:rsid w:val="FD93C454"/>
    <w:rsid w:val="FF7A667A"/>
    <w:rsid w:val="FFF41223"/>
    <w:rsid w:val="FFFD3545"/>
    <w:rsid w:val="FFFE08A5"/>
    <w:rsid w:val="FFFF8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20</TotalTime>
  <ScaleCrop>false</ScaleCrop>
  <LinksUpToDate>false</LinksUpToDate>
  <CharactersWithSpaces>1668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2019-04-29T01:45:00Z</dcterms:created>
  <dc:creator>李栋</dc:creator>
  <cp:lastModifiedBy>greatwall</cp:lastModifiedBy>
  <cp:lastPrinted>2022-07-27T23:32:00Z</cp:lastPrinted>
  <dcterms:modified xsi:type="dcterms:W3CDTF">2022-08-03T10:09:20Z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