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102</w:t>
      </w:r>
      <w:r>
        <w:rPr>
          <w:rFonts w:hint="eastAsia" w:ascii="仿宋_GB2312" w:hAnsi="仿宋_GB2312" w:eastAsia="仿宋_GB2312" w:cs="仿宋_GB2312"/>
          <w:bCs/>
          <w:color w:val="000000"/>
          <w:sz w:val="32"/>
          <w:szCs w:val="32"/>
          <w:u w:val="none"/>
        </w:rPr>
        <w:t>号</w:t>
      </w:r>
    </w:p>
    <w:p>
      <w:pPr>
        <w:widowControl/>
        <w:snapToGrid w:val="0"/>
        <w:spacing w:line="240" w:lineRule="auto"/>
        <w:ind w:right="55"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240" w:lineRule="auto"/>
        <w:ind w:left="140" w:hanging="140"/>
        <w:rPr>
          <w:rFonts w:hint="eastAsia" w:ascii="仿宋_GB2312" w:hAnsi="仿宋_GB2312" w:eastAsia="仿宋_GB2312" w:cs="仿宋_GB2312"/>
          <w:bCs/>
          <w:sz w:val="32"/>
          <w:szCs w:val="32"/>
          <w:u w:val="none"/>
        </w:rPr>
      </w:pPr>
      <w:r>
        <w:rPr>
          <w:rFonts w:hint="eastAsia" w:ascii="仿宋_GB2312" w:hAnsi="仿宋_GB2312" w:eastAsia="仿宋_GB2312" w:cs="仿宋_GB2312"/>
          <w:bCs/>
          <w:kern w:val="1"/>
          <w:sz w:val="32"/>
          <w:szCs w:val="32"/>
        </w:rPr>
        <w:t>当事人：</w:t>
      </w:r>
      <w:r>
        <w:rPr>
          <w:rFonts w:hint="eastAsia" w:ascii="Times New Roman" w:hAnsi="Times New Roman" w:eastAsia="仿宋_GB2312" w:cs="仿宋_GB2312"/>
          <w:sz w:val="32"/>
          <w:szCs w:val="32"/>
          <w:lang w:eastAsia="zh-CN"/>
        </w:rPr>
        <w:t>天津市北水水族用品有限公司</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p>
    <w:p>
      <w:pPr>
        <w:spacing w:line="240" w:lineRule="auto"/>
        <w:ind w:left="140" w:hanging="140"/>
        <w:rPr>
          <w:rFonts w:hint="eastAsia" w:ascii="仿宋_GB2312" w:hAnsi="仿宋_GB2312" w:eastAsia="仿宋_GB2312" w:cs="仿宋_GB2312"/>
          <w:kern w:val="1"/>
          <w:sz w:val="32"/>
          <w:szCs w:val="32"/>
          <w:u w:val="single"/>
          <w:lang w:val="en-US" w:eastAsia="zh-CN"/>
        </w:rPr>
      </w:pPr>
      <w:r>
        <w:rPr>
          <w:rFonts w:hint="eastAsia" w:ascii="仿宋_GB2312" w:hAnsi="仿宋_GB2312" w:eastAsia="仿宋_GB2312" w:cs="仿宋_GB2312"/>
          <w:bCs/>
          <w:kern w:val="1"/>
          <w:sz w:val="32"/>
          <w:szCs w:val="32"/>
        </w:rPr>
        <w:t>主体资格证照</w:t>
      </w:r>
      <w:r>
        <w:rPr>
          <w:rFonts w:hint="eastAsia" w:ascii="仿宋_GB2312" w:hAnsi="仿宋_GB2312" w:eastAsia="仿宋_GB2312" w:cs="仿宋_GB2312"/>
          <w:kern w:val="1"/>
          <w:sz w:val="32"/>
          <w:szCs w:val="32"/>
        </w:rPr>
        <w:t>名称：</w:t>
      </w:r>
      <w:r>
        <w:rPr>
          <w:rFonts w:hint="eastAsia" w:ascii="仿宋_GB2312" w:hAnsi="仿宋_GB2312" w:eastAsia="仿宋_GB2312" w:cs="仿宋_GB2312"/>
          <w:spacing w:val="-16"/>
          <w:sz w:val="32"/>
          <w:szCs w:val="32"/>
          <w:lang w:eastAsia="zh-CN"/>
        </w:rPr>
        <w:t>营业执照</w:t>
      </w:r>
    </w:p>
    <w:p>
      <w:pPr>
        <w:spacing w:line="240" w:lineRule="auto"/>
        <w:ind w:left="140" w:hanging="140"/>
        <w:rPr>
          <w:rFonts w:hint="eastAsia" w:ascii="仿宋_GB2312" w:hAnsi="仿宋_GB2312" w:eastAsia="仿宋_GB2312" w:cs="仿宋_GB2312"/>
          <w:kern w:val="1"/>
          <w:sz w:val="32"/>
          <w:szCs w:val="32"/>
          <w:u w:val="single"/>
        </w:rPr>
      </w:pPr>
      <w:r>
        <w:rPr>
          <w:rFonts w:hint="eastAsia" w:ascii="仿宋_GB2312" w:hAnsi="仿宋_GB2312" w:eastAsia="仿宋_GB2312" w:cs="仿宋_GB2312"/>
          <w:kern w:val="1"/>
          <w:sz w:val="32"/>
          <w:szCs w:val="32"/>
        </w:rPr>
        <w:t>统一社会信用代码：</w:t>
      </w:r>
      <w:r>
        <w:rPr>
          <w:rFonts w:hint="eastAsia" w:ascii="仿宋_GB2312" w:hAnsi="仿宋_GB2312" w:eastAsia="仿宋_GB2312" w:cs="仿宋_GB2312"/>
          <w:sz w:val="32"/>
          <w:szCs w:val="32"/>
          <w:lang w:eastAsia="zh-CN"/>
        </w:rPr>
        <w:t>91120113328538795Q</w:t>
      </w:r>
    </w:p>
    <w:p>
      <w:pPr>
        <w:spacing w:line="240" w:lineRule="auto"/>
        <w:rPr>
          <w:rFonts w:hint="eastAsia" w:ascii="仿宋_GB2312" w:hAnsi="仿宋_GB2312" w:eastAsia="仿宋_GB2312" w:cs="仿宋_GB2312"/>
          <w:spacing w:val="-16"/>
          <w:sz w:val="32"/>
          <w:szCs w:val="32"/>
        </w:rPr>
      </w:pPr>
      <w:r>
        <w:rPr>
          <w:rFonts w:hint="eastAsia" w:ascii="仿宋_GB2312" w:hAnsi="仿宋_GB2312" w:eastAsia="仿宋_GB2312" w:cs="仿宋_GB2312"/>
          <w:kern w:val="1"/>
          <w:sz w:val="32"/>
          <w:szCs w:val="32"/>
        </w:rPr>
        <w:t>经营场所：</w:t>
      </w:r>
      <w:r>
        <w:rPr>
          <w:rFonts w:hint="eastAsia" w:ascii="Times New Roman" w:hAnsi="Times New Roman" w:eastAsia="仿宋_GB2312" w:cs="仿宋_GB2312"/>
          <w:sz w:val="32"/>
          <w:szCs w:val="32"/>
          <w:lang w:eastAsia="zh-CN"/>
        </w:rPr>
        <w:t>天津市北辰区大张庄镇北孙庄村东</w:t>
      </w:r>
    </w:p>
    <w:p>
      <w:pPr>
        <w:spacing w:line="240" w:lineRule="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法定代表人：</w:t>
      </w:r>
      <w:r>
        <w:rPr>
          <w:rFonts w:hint="eastAsia" w:ascii="Times New Roman" w:hAnsi="Times New Roman" w:eastAsia="仿宋_GB2312" w:cs="仿宋_GB2312"/>
          <w:sz w:val="32"/>
          <w:szCs w:val="32"/>
          <w:lang w:eastAsia="zh-CN"/>
        </w:rPr>
        <w:t>魏立明</w:t>
      </w:r>
    </w:p>
    <w:p>
      <w:pPr>
        <w:tabs>
          <w:tab w:val="left" w:pos="9060"/>
        </w:tabs>
        <w:autoSpaceDE w:val="0"/>
        <w:autoSpaceDN w:val="0"/>
        <w:adjustRightInd w:val="0"/>
        <w:spacing w:line="240" w:lineRule="auto"/>
        <w:ind w:firstLine="437" w:firstLineChars="196"/>
        <w:jc w:val="left"/>
        <w:rPr>
          <w:rFonts w:hint="eastAsia" w:ascii="仿宋_GB2312" w:hAnsi="仿宋_GB2312" w:eastAsia="仿宋_GB2312" w:cs="仿宋_GB2312"/>
          <w:b/>
          <w:strike/>
          <w:color w:val="231F20"/>
          <w:spacing w:val="-49"/>
          <w:kern w:val="0"/>
          <w:sz w:val="32"/>
          <w:szCs w:val="32"/>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2022年5月6日，我局接到天津市市场监督管理委员会交办的线索，称当事人网站内发布虚假广告。经初步核查，发现当事人官网发布“天津市北水水族用品有限公司，是一家集培育研发、加工生产、经销批发天然高品质冷冻观赏鱼饵料、冷冻娃娃鱼饲料等为一体的国有企业单位”等宣传内容，涉嫌虚假商业宣传。2022年5月23日，经局领导批准，予以立案调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当事人主要从事鱼虫分装及销售业务。自2021年10月，为美化公司形象、提高商品的销量，当事人在公司官网</w:t>
      </w:r>
      <w:r>
        <w:rPr>
          <w:rFonts w:hint="eastAsia" w:ascii="仿宋_GB2312" w:hAnsi="仿宋_GB2312" w:eastAsia="仿宋_GB2312" w:cs="仿宋_GB2312"/>
          <w:kern w:val="1"/>
          <w:sz w:val="32"/>
          <w:szCs w:val="32"/>
          <w:lang w:val="en-US" w:eastAsia="zh-CN"/>
        </w:rPr>
        <w:t>（http://tj-beishui.cn）</w:t>
      </w:r>
      <w:r>
        <w:rPr>
          <w:rFonts w:hint="eastAsia" w:ascii="仿宋_GB2312" w:hAnsi="仿宋_GB2312" w:eastAsia="仿宋_GB2312" w:cs="仿宋_GB2312"/>
          <w:sz w:val="32"/>
          <w:szCs w:val="32"/>
          <w:lang w:eastAsia="zh-CN"/>
        </w:rPr>
        <w:t>发布“天津市北水水族用品有限公司，是一家集培育研发、加工生产、经销批发天然高品质冷冻观赏鱼饵料、冷冻娃娃鱼饲料等为一体的国有企业单位”、“北水公司生产的产品远销日本、韩国等地，部分产品被中国绿色食品发展中心认定为绿色食品”、“企业连年被政府授予‘出口创汇先进企业’和‘农业产业化经营重点龙头企业’，并成为中国水产流通与加工协会理事单位，国家淡水渔业工程技术研究中心水产品加工研究基地”、“产品功效 营养丰富，提高免疫力，促进增色增艳，促进生长发育”的宣传内容，经我局核实均系虚假。</w:t>
      </w:r>
      <w:r>
        <w:rPr>
          <w:rFonts w:hint="eastAsia" w:ascii="仿宋_GB2312" w:hAnsi="仿宋_GB2312" w:eastAsia="仿宋_GB2312" w:cs="仿宋_GB2312"/>
          <w:sz w:val="32"/>
          <w:szCs w:val="32"/>
          <w:lang w:val="en-US" w:eastAsia="zh-CN"/>
        </w:rPr>
        <w:t>综上所述，当事人上述行为满足</w:t>
      </w:r>
      <w:r>
        <w:rPr>
          <w:rFonts w:hint="eastAsia" w:ascii="仿宋_GB2312" w:hAnsi="仿宋_GB2312" w:eastAsia="仿宋_GB2312" w:cs="仿宋_GB2312"/>
          <w:sz w:val="32"/>
          <w:szCs w:val="32"/>
          <w:lang w:eastAsia="zh-CN"/>
        </w:rPr>
        <w:t>虚假商业宣传</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构成要件。</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1.当事人营业执照复印件、法定代表人魏立明身份证复印件，证明当事人的主体资格和法定代表人身份；</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2.对当事人制作的现场笔录、网页截图打印件、对当事人法定代表人制作的询问笔录，证明当事人虚假商业宣传行为的事实和情节；</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u w:val="single"/>
          <w:lang w:val="en-US" w:eastAsia="zh-CN"/>
        </w:rPr>
      </w:pPr>
      <w:r>
        <w:rPr>
          <w:rFonts w:hint="eastAsia" w:ascii="仿宋_GB2312" w:hAnsi="仿宋_GB2312" w:eastAsia="仿宋_GB2312" w:cs="仿宋_GB2312"/>
          <w:sz w:val="32"/>
          <w:szCs w:val="32"/>
          <w:lang w:val="en-US" w:eastAsia="zh-CN"/>
        </w:rPr>
        <w:t xml:space="preserve">    3.对当事人制作的复查现场笔录、整改后网页截图打印件，证明当事人积极改正违法行为的情节。</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7</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18</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102</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u w:val="none"/>
        </w:rPr>
        <w:t>当事人在法定期限内未提出陈述、申辩意见。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lang w:eastAsia="zh-CN"/>
        </w:rPr>
        <w:t>《中华人民共和国反不正当竞争法》第八条第一款：“经营者不得对其商品的性能、功能、质量、销售状况、用户评价、曾获荣誉等作虚假或者引人误解的商业宣传，欺骗、误导消费者。”</w:t>
      </w:r>
      <w:r>
        <w:rPr>
          <w:rFonts w:hint="eastAsia" w:ascii="仿宋_GB2312" w:hAnsi="仿宋_GB2312" w:eastAsia="仿宋_GB2312" w:cs="仿宋_GB2312"/>
          <w:color w:val="000000"/>
          <w:kern w:val="1"/>
          <w:sz w:val="32"/>
          <w:szCs w:val="32"/>
        </w:rPr>
        <w:t>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bCs/>
          <w:sz w:val="32"/>
          <w:szCs w:val="32"/>
        </w:rPr>
        <w:t>依据</w:t>
      </w:r>
      <w:bookmarkStart w:id="3" w:name="_GoBack"/>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w:t>
      </w:r>
      <w:bookmarkEnd w:id="3"/>
      <w:r>
        <w:rPr>
          <w:rFonts w:hint="eastAsia" w:ascii="仿宋_GB2312" w:hAnsi="仿宋_GB2312" w:eastAsia="仿宋_GB2312" w:cs="仿宋_GB2312"/>
          <w:bCs/>
          <w:sz w:val="32"/>
          <w:szCs w:val="32"/>
          <w:lang w:eastAsia="zh-CN"/>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0"/>
          <w:sz w:val="32"/>
          <w:szCs w:val="32"/>
          <w:u w:val="none"/>
        </w:rPr>
        <w:t>的规定进行处罚。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鉴于当事人积极改正违法行为，且在本案调查过程中，配合我局调查，违法行为未造成较大危害后果，符合《天津市市场监督管理委员会行政处罚裁量适用规则》第十三条第五项的规定，予以减轻处罚。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综上，当事人上述行为违了</w:t>
      </w:r>
      <w:r>
        <w:rPr>
          <w:rFonts w:hint="eastAsia" w:ascii="仿宋_GB2312" w:hAnsi="仿宋_GB2312" w:eastAsia="仿宋_GB2312" w:cs="仿宋_GB2312"/>
          <w:kern w:val="1"/>
          <w:sz w:val="32"/>
          <w:szCs w:val="32"/>
          <w:lang w:eastAsia="zh-CN"/>
        </w:rPr>
        <w:t>《中华人民共和国反不正当竞争法》第八条第一款</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现</w:t>
      </w:r>
      <w:r>
        <w:rPr>
          <w:rFonts w:hint="eastAsia" w:ascii="仿宋_GB2312" w:hAnsi="仿宋_GB2312" w:eastAsia="仿宋_GB2312" w:cs="仿宋_GB2312"/>
          <w:kern w:val="1"/>
          <w:sz w:val="32"/>
          <w:szCs w:val="32"/>
        </w:rPr>
        <w:t>责令当事人改正上述违法行为，并决定处罚如下：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罚款</w:t>
      </w:r>
      <w:r>
        <w:rPr>
          <w:rFonts w:hint="eastAsia" w:ascii="仿宋_GB2312" w:hAnsi="仿宋_GB2312" w:eastAsia="仿宋_GB2312" w:cs="仿宋_GB2312"/>
          <w:color w:val="000000"/>
          <w:kern w:val="0"/>
          <w:sz w:val="32"/>
          <w:szCs w:val="32"/>
          <w:u w:val="none"/>
          <w:lang w:val="en-US" w:eastAsia="zh-CN"/>
        </w:rPr>
        <w:t>5000</w:t>
      </w:r>
      <w:r>
        <w:rPr>
          <w:rFonts w:hint="eastAsia" w:ascii="仿宋_GB2312" w:hAnsi="仿宋_GB2312" w:eastAsia="仿宋_GB2312" w:cs="仿宋_GB2312"/>
          <w:color w:val="000000"/>
          <w:kern w:val="0"/>
          <w:sz w:val="32"/>
          <w:szCs w:val="32"/>
          <w:u w:val="none"/>
        </w:rPr>
        <w:t xml:space="preserve">元。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spacing w:line="240" w:lineRule="auto"/>
        <w:ind w:right="640" w:firstLine="601"/>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spacing w:line="240" w:lineRule="auto"/>
        <w:ind w:right="1280" w:firstLine="600"/>
        <w:jc w:val="center"/>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26 </w:t>
      </w:r>
      <w:r>
        <w:rPr>
          <w:rFonts w:hint="eastAsia" w:ascii="仿宋_GB2312" w:hAnsi="仿宋_GB2312" w:eastAsia="仿宋_GB2312" w:cs="仿宋_GB2312"/>
          <w:color w:val="000000"/>
          <w:sz w:val="32"/>
          <w:szCs w:val="32"/>
        </w:rPr>
        <w:t>日</w:t>
      </w:r>
    </w:p>
    <w:p>
      <w:pPr>
        <w:spacing w:line="240" w:lineRule="auto"/>
        <w:ind w:right="1280" w:firstLine="600"/>
        <w:jc w:val="center"/>
        <w:rPr>
          <w:rFonts w:hint="eastAsia" w:ascii="仿宋_GB2312" w:hAnsi="Times New Roman" w:eastAsia="仿宋_GB2312" w:cs="仿宋"/>
          <w:color w:val="000000"/>
          <w:sz w:val="32"/>
          <w:szCs w:val="32"/>
          <w:lang w:val="en-US" w:eastAsia="zh-CN"/>
        </w:rPr>
      </w:pPr>
    </w:p>
    <w:p>
      <w:pPr>
        <w:spacing w:line="240" w:lineRule="auto"/>
        <w:ind w:right="1280" w:firstLine="600"/>
        <w:jc w:val="center"/>
        <w:rPr>
          <w:rFonts w:hint="eastAsia" w:ascii="仿宋_GB2312" w:hAnsi="Times New Roman" w:eastAsia="仿宋_GB2312" w:cs="仿宋"/>
          <w:color w:val="000000"/>
          <w:sz w:val="32"/>
          <w:szCs w:val="32"/>
          <w:lang w:val="en-US" w:eastAsia="zh-CN"/>
        </w:rPr>
      </w:pPr>
    </w:p>
    <w:p>
      <w:pPr>
        <w:spacing w:line="240" w:lineRule="auto"/>
        <w:ind w:right="1280" w:firstLine="600"/>
        <w:jc w:val="center"/>
        <w:rPr>
          <w:rFonts w:hint="eastAsia" w:ascii="仿宋_GB2312" w:hAnsi="Times New Roman" w:eastAsia="仿宋_GB2312" w:cs="仿宋"/>
          <w:color w:val="000000"/>
          <w:sz w:val="32"/>
          <w:szCs w:val="32"/>
          <w:lang w:val="en-US" w:eastAsia="zh-CN"/>
        </w:rPr>
      </w:pPr>
    </w:p>
    <w:p>
      <w:pPr>
        <w:spacing w:line="240" w:lineRule="auto"/>
        <w:ind w:right="1280"/>
        <w:jc w:val="both"/>
        <w:rPr>
          <w:rFonts w:hint="eastAsia" w:ascii="仿宋_GB2312" w:hAnsi="Times New Roman" w:eastAsia="仿宋_GB2312" w:cs="仿宋"/>
          <w:color w:val="000000"/>
          <w:sz w:val="32"/>
          <w:szCs w:val="32"/>
        </w:rPr>
      </w:pPr>
    </w:p>
    <w:p>
      <w:pPr>
        <w:spacing w:line="240" w:lineRule="auto"/>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2FDE1F43"/>
    <w:rsid w:val="32D44116"/>
    <w:rsid w:val="336605F6"/>
    <w:rsid w:val="37B280F0"/>
    <w:rsid w:val="3F6D40AF"/>
    <w:rsid w:val="421FC25D"/>
    <w:rsid w:val="435F25C5"/>
    <w:rsid w:val="4B77E092"/>
    <w:rsid w:val="4EBF8D72"/>
    <w:rsid w:val="4FFBC54C"/>
    <w:rsid w:val="56FB4B18"/>
    <w:rsid w:val="57D5CF1E"/>
    <w:rsid w:val="5DF754C9"/>
    <w:rsid w:val="5DFF0633"/>
    <w:rsid w:val="6673884F"/>
    <w:rsid w:val="6D6FFAC9"/>
    <w:rsid w:val="6EDE64E2"/>
    <w:rsid w:val="6FBE3B48"/>
    <w:rsid w:val="6FED243E"/>
    <w:rsid w:val="6FF4E632"/>
    <w:rsid w:val="737CBA5A"/>
    <w:rsid w:val="75B1A3D6"/>
    <w:rsid w:val="76BF4194"/>
    <w:rsid w:val="76FB9EDF"/>
    <w:rsid w:val="77CFD880"/>
    <w:rsid w:val="787D33D7"/>
    <w:rsid w:val="7AAF8177"/>
    <w:rsid w:val="7B392B99"/>
    <w:rsid w:val="7D6AFE5F"/>
    <w:rsid w:val="7DDBC773"/>
    <w:rsid w:val="7F7B48CB"/>
    <w:rsid w:val="7FB6ACF1"/>
    <w:rsid w:val="7FFF7EE2"/>
    <w:rsid w:val="9FEB72CE"/>
    <w:rsid w:val="B3FB37EA"/>
    <w:rsid w:val="B9FEFB4E"/>
    <w:rsid w:val="BBAE2427"/>
    <w:rsid w:val="BF77444B"/>
    <w:rsid w:val="BFDE5DB3"/>
    <w:rsid w:val="BFED92E5"/>
    <w:rsid w:val="DB3F000F"/>
    <w:rsid w:val="DB8FF15F"/>
    <w:rsid w:val="EEDBADB6"/>
    <w:rsid w:val="EEF681B8"/>
    <w:rsid w:val="EFE778F8"/>
    <w:rsid w:val="EFFF35C8"/>
    <w:rsid w:val="F4D3A68D"/>
    <w:rsid w:val="F59FB5B8"/>
    <w:rsid w:val="F7F2969B"/>
    <w:rsid w:val="F7FF98B0"/>
    <w:rsid w:val="F9B699E6"/>
    <w:rsid w:val="FB3560CB"/>
    <w:rsid w:val="FBF79080"/>
    <w:rsid w:val="FD7FAA68"/>
    <w:rsid w:val="FD93C454"/>
    <w:rsid w:val="FE8F74B3"/>
    <w:rsid w:val="FEFF07AD"/>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2</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2019-04-29T09:45:00Z</dcterms:created>
  <dc:creator>李栋</dc:creator>
  <cp:lastModifiedBy>greatwall</cp:lastModifiedBy>
  <cp:lastPrinted>2022-07-26T17:51:00Z</cp:lastPrinted>
  <dcterms:modified xsi:type="dcterms:W3CDTF">2022-08-03T10:11:03Z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