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rPr>
      </w:pPr>
      <w:bookmarkStart w:id="0" w:name="_Toc27865"/>
      <w:bookmarkStart w:id="1" w:name="_Toc76683363"/>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w:t>
      </w:r>
      <w:r>
        <w:rPr>
          <w:rFonts w:hint="eastAsia" w:ascii="Times New Roman" w:hAnsi="仿宋_GB2312" w:eastAsia="仿宋_GB2312" w:cs="仿宋_GB2312"/>
          <w:bCs/>
          <w:color w:val="000000"/>
          <w:sz w:val="32"/>
          <w:szCs w:val="32"/>
          <w:u w:val="none"/>
          <w:lang w:eastAsia="zh-CN"/>
        </w:rPr>
        <w:t>综</w:t>
      </w:r>
      <w:r>
        <w:rPr>
          <w:rFonts w:hint="eastAsia" w:ascii="Times New Roman" w:hAnsi="仿宋_GB2312" w:eastAsia="仿宋_GB2312" w:cs="仿宋_GB2312"/>
          <w:bCs/>
          <w:color w:val="000000"/>
          <w:sz w:val="32"/>
          <w:szCs w:val="32"/>
          <w:u w:val="none"/>
        </w:rPr>
        <w:t>处罚〔</w:t>
      </w:r>
      <w:r>
        <w:rPr>
          <w:rFonts w:ascii="Times New Roman" w:hAnsi="Times New Roman" w:eastAsia="仿宋_GB2312" w:cs="仿宋_GB2312"/>
          <w:bCs/>
          <w:color w:val="000000"/>
          <w:sz w:val="32"/>
          <w:szCs w:val="32"/>
          <w:u w:val="none"/>
        </w:rPr>
        <w:t>202</w:t>
      </w:r>
      <w:r>
        <w:rPr>
          <w:rFonts w:hint="eastAsia" w:ascii="Times New Roman" w:hAnsi="Times New Roman" w:eastAsia="仿宋_GB2312" w:cs="仿宋_GB2312"/>
          <w:bCs/>
          <w:color w:val="000000"/>
          <w:sz w:val="32"/>
          <w:szCs w:val="32"/>
          <w:u w:val="none"/>
          <w:lang w:val="en-US" w:eastAsia="zh-CN"/>
        </w:rPr>
        <w:t>2</w:t>
      </w:r>
      <w:r>
        <w:rPr>
          <w:rFonts w:hint="eastAsia" w:ascii="Times New Roman" w:hAnsi="仿宋_GB2312" w:eastAsia="仿宋_GB2312" w:cs="仿宋_GB2312"/>
          <w:bCs/>
          <w:color w:val="000000"/>
          <w:sz w:val="32"/>
          <w:szCs w:val="32"/>
          <w:u w:val="none"/>
        </w:rPr>
        <w:t>〕</w:t>
      </w:r>
      <w:r>
        <w:rPr>
          <w:rFonts w:hint="eastAsia" w:ascii="Times New Roman" w:hAnsi="Times New Roman" w:eastAsia="仿宋_GB2312" w:cs="仿宋_GB2312"/>
          <w:bCs/>
          <w:color w:val="000000"/>
          <w:sz w:val="32"/>
          <w:szCs w:val="32"/>
          <w:u w:val="none"/>
          <w:lang w:val="en-US" w:eastAsia="zh-CN"/>
        </w:rPr>
        <w:t>128</w:t>
      </w:r>
      <w:r>
        <w:rPr>
          <w:rFonts w:hint="eastAsia" w:ascii="Times New Roman" w:hAnsi="仿宋_GB2312" w:eastAsia="仿宋_GB2312" w:cs="仿宋_GB2312"/>
          <w:bCs/>
          <w:color w:val="000000"/>
          <w:sz w:val="32"/>
          <w:szCs w:val="32"/>
          <w:u w:val="none"/>
        </w:rPr>
        <w:t>号</w:t>
      </w:r>
    </w:p>
    <w:p>
      <w:pPr>
        <w:widowControl/>
        <w:snapToGrid w:val="0"/>
        <w:spacing w:line="520" w:lineRule="exact"/>
        <w:ind w:right="55" w:firstLine="5440" w:firstLineChars="1700"/>
        <w:rPr>
          <w:rFonts w:ascii="Times New Roman" w:hAnsi="Times New Roman" w:eastAsia="仿宋_GB2312" w:cs="Mongolian Baiti"/>
          <w:color w:val="000000"/>
          <w:sz w:val="32"/>
          <w:szCs w:val="32"/>
          <w:u w:val="none"/>
        </w:rPr>
      </w:pPr>
      <w:r>
        <w:rPr>
          <w:rFonts w:hint="eastAsia" w:ascii="Times New Roman" w:hAnsi="Times New Roman" w:eastAsia="仿宋_GB2312" w:cs="Mongolian Baiti"/>
          <w:color w:val="000000"/>
          <w:sz w:val="32"/>
          <w:szCs w:val="32"/>
          <w:u w:val="none"/>
        </w:rPr>
        <mc:AlternateContent>
          <mc:Choice Requires="wps">
            <w:drawing>
              <wp:anchor distT="0" distB="0" distL="114300" distR="114300" simplePos="0" relativeHeight="251663360"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63360;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Times New Roman" w:hAnsi="Times New Roman" w:eastAsia="仿宋_GB2312" w:cs="仿宋_GB2312"/>
          <w:sz w:val="32"/>
          <w:szCs w:val="32"/>
          <w:u w:val="none"/>
          <w:lang w:eastAsia="zh-CN"/>
        </w:rPr>
        <w:t>天津市北辰区明峰加油站有限公司</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lang w:val="en-US" w:eastAsia="zh-CN"/>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仿宋_GB2312"/>
          <w:spacing w:val="-16"/>
          <w:sz w:val="32"/>
          <w:szCs w:val="32"/>
          <w:u w:val="none"/>
          <w:lang w:eastAsia="zh-CN"/>
        </w:rPr>
        <w:t>营业执照</w:t>
      </w:r>
    </w:p>
    <w:p>
      <w:pPr>
        <w:spacing w:line="52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仿宋_GB2312"/>
          <w:sz w:val="32"/>
          <w:szCs w:val="32"/>
          <w:u w:val="none"/>
          <w:lang w:val="en-US" w:eastAsia="zh-CN"/>
        </w:rPr>
        <w:t>91120113239446629U</w:t>
      </w:r>
    </w:p>
    <w:p>
      <w:pPr>
        <w:spacing w:line="520" w:lineRule="exact"/>
        <w:rPr>
          <w:rFonts w:hint="eastAsia" w:ascii="Times New Roman" w:hAnsi="Times New Roman" w:eastAsia="仿宋_GB2312" w:cs="仿宋_GB2312"/>
          <w:spacing w:val="-16"/>
          <w:sz w:val="32"/>
          <w:szCs w:val="32"/>
          <w:u w:val="none"/>
        </w:rPr>
      </w:pPr>
      <w:r>
        <w:rPr>
          <w:rFonts w:hint="eastAsia" w:ascii="Times New Roman" w:hAnsi="Times New Roman" w:eastAsia="仿宋_GB2312" w:cs="Mongolian Baiti"/>
          <w:kern w:val="1"/>
          <w:sz w:val="32"/>
          <w:szCs w:val="32"/>
          <w:u w:val="none"/>
        </w:rPr>
        <w:t>经营场所：</w:t>
      </w:r>
      <w:r>
        <w:rPr>
          <w:rFonts w:hint="eastAsia" w:ascii="Times New Roman" w:hAnsi="Times New Roman" w:eastAsia="仿宋_GB2312" w:cs="仿宋_GB2312"/>
          <w:sz w:val="32"/>
          <w:szCs w:val="32"/>
          <w:u w:val="none"/>
          <w:lang w:val="en-US" w:eastAsia="zh-CN"/>
        </w:rPr>
        <w:t>天津市北辰区西堤头镇辛侯庄村</w:t>
      </w:r>
    </w:p>
    <w:p>
      <w:pPr>
        <w:spacing w:line="520" w:lineRule="exact"/>
        <w:rPr>
          <w:rFonts w:hint="eastAsia" w:ascii="Times New Roman" w:hAnsi="Times New Roman" w:eastAsia="仿宋_GB2312" w:cs="Mongolian Baiti"/>
          <w:kern w:val="1"/>
          <w:sz w:val="32"/>
          <w:szCs w:val="32"/>
          <w:u w:val="none"/>
          <w:lang w:eastAsia="zh-CN"/>
        </w:rPr>
      </w:pPr>
      <w:r>
        <w:rPr>
          <w:rFonts w:hint="eastAsia" w:ascii="Times New Roman" w:hAnsi="Times New Roman" w:eastAsia="仿宋_GB2312" w:cs="Mongolian Baiti"/>
          <w:kern w:val="1"/>
          <w:sz w:val="32"/>
          <w:szCs w:val="32"/>
          <w:u w:val="none"/>
        </w:rPr>
        <w:t>法定代表人：</w:t>
      </w:r>
      <w:r>
        <w:rPr>
          <w:rFonts w:hint="eastAsia" w:ascii="Times New Roman" w:hAnsi="Times New Roman" w:eastAsia="仿宋_GB2312" w:cs="仿宋_GB2312"/>
          <w:sz w:val="32"/>
          <w:szCs w:val="32"/>
          <w:u w:val="none"/>
          <w:lang w:eastAsia="zh-CN"/>
        </w:rPr>
        <w:t>魏顺源</w:t>
      </w:r>
    </w:p>
    <w:p>
      <w:pPr>
        <w:tabs>
          <w:tab w:val="left" w:pos="9060"/>
        </w:tabs>
        <w:autoSpaceDE w:val="0"/>
        <w:autoSpaceDN w:val="0"/>
        <w:adjustRightInd w:val="0"/>
        <w:spacing w:line="520" w:lineRule="exact"/>
        <w:ind w:firstLine="437" w:firstLineChars="196"/>
        <w:jc w:val="left"/>
        <w:rPr>
          <w:rFonts w:ascii="仿宋_GB2312" w:hAnsi="方正仿宋_GBK" w:eastAsia="仿宋_GB2312"/>
          <w:b/>
          <w:strike/>
          <w:color w:val="231F20"/>
          <w:spacing w:val="-49"/>
          <w:kern w:val="0"/>
          <w:sz w:val="32"/>
          <w:szCs w:val="32"/>
          <w:u w:val="none"/>
        </w:rPr>
      </w:pPr>
    </w:p>
    <w:p>
      <w:pPr>
        <w:spacing w:line="360" w:lineRule="auto"/>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仿宋_GB2312"/>
          <w:sz w:val="32"/>
          <w:szCs w:val="32"/>
          <w:u w:val="none"/>
        </w:rPr>
        <w:t>根据2022年天津市产品质量监督检查工作部署，天津市市场监督管理委员会对当事人待售的95号车用乙醇汽油（E10）（VIA）进行抽样检测。2022年10月12日，谱尼测试科技（天津）有限公司出具检测报告，经抽样检测，当事人销售的车用乙醇汽油（E10）（VIA）检测结论为不合格。</w:t>
      </w:r>
      <w:r>
        <w:rPr>
          <w:rFonts w:hint="eastAsia" w:ascii="Times New Roman" w:hAnsi="Times New Roman" w:eastAsia="仿宋_GB2312" w:cs="仿宋_GB2312"/>
          <w:color w:val="000000"/>
          <w:sz w:val="32"/>
          <w:szCs w:val="32"/>
          <w:u w:val="none"/>
          <w:lang w:val="en-US" w:eastAsia="zh-CN"/>
        </w:rPr>
        <w:t>2022年10月12日，我局执法人员对当事人送达检验报告。经现场检查，当事人已在原不合格汽油中混入大量新购入汽油，现场表显数量</w:t>
      </w:r>
      <w:r>
        <w:rPr>
          <w:rFonts w:hint="eastAsia" w:ascii="Times New Roman" w:hAnsi="Times New Roman" w:eastAsia="仿宋_GB2312" w:cs="仿宋_GB2312"/>
          <w:sz w:val="32"/>
          <w:szCs w:val="32"/>
          <w:u w:val="none"/>
          <w:lang w:val="en-US" w:eastAsia="zh-CN"/>
        </w:rPr>
        <w:t>为24616.7L。我局对上述</w:t>
      </w:r>
      <w:r>
        <w:rPr>
          <w:rFonts w:hint="eastAsia" w:ascii="Times New Roman" w:hAnsi="Times New Roman" w:eastAsia="仿宋_GB2312" w:cs="仿宋_GB2312"/>
          <w:sz w:val="32"/>
          <w:szCs w:val="32"/>
          <w:u w:val="none"/>
        </w:rPr>
        <w:t>车用乙醇汽油（E10）（VIA）</w:t>
      </w:r>
      <w:r>
        <w:rPr>
          <w:rFonts w:hint="eastAsia" w:ascii="Times New Roman" w:hAnsi="Times New Roman" w:eastAsia="仿宋_GB2312" w:cs="仿宋_GB2312"/>
          <w:sz w:val="32"/>
          <w:szCs w:val="32"/>
          <w:u w:val="none"/>
          <w:lang w:eastAsia="zh-CN"/>
        </w:rPr>
        <w:t>予以查封</w:t>
      </w:r>
      <w:r>
        <w:rPr>
          <w:rFonts w:hint="eastAsia" w:ascii="Times New Roman" w:hAnsi="Times New Roman" w:eastAsia="仿宋_GB2312" w:cs="仿宋_GB2312"/>
          <w:sz w:val="32"/>
          <w:szCs w:val="32"/>
          <w:u w:val="none"/>
          <w:lang w:val="en-US" w:eastAsia="zh-CN"/>
        </w:rPr>
        <w:t>。2022年10月13日，当事人称，对检验结果无异议，不申请复检。同日，执法人员报经局领导批准，予以立案调查。2022年10月21日，经检测合格后，我局对查封的</w:t>
      </w:r>
      <w:r>
        <w:rPr>
          <w:rFonts w:hint="eastAsia" w:ascii="Times New Roman" w:hAnsi="Times New Roman" w:eastAsia="仿宋_GB2312" w:cs="仿宋_GB2312"/>
          <w:sz w:val="32"/>
          <w:szCs w:val="32"/>
          <w:u w:val="none"/>
        </w:rPr>
        <w:t>车用乙醇汽油（E10）（VIA）</w:t>
      </w:r>
      <w:r>
        <w:rPr>
          <w:rFonts w:hint="eastAsia" w:ascii="Times New Roman" w:hAnsi="Times New Roman" w:eastAsia="仿宋_GB2312" w:cs="仿宋_GB2312"/>
          <w:sz w:val="32"/>
          <w:szCs w:val="32"/>
          <w:u w:val="none"/>
          <w:lang w:val="en-US" w:eastAsia="zh-CN"/>
        </w:rPr>
        <w:t>予以解除查封。</w:t>
      </w:r>
    </w:p>
    <w:p>
      <w:pPr>
        <w:spacing w:line="360" w:lineRule="auto"/>
        <w:ind w:firstLine="640" w:firstLineChars="200"/>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Mongolian Baiti"/>
          <w:kern w:val="1"/>
          <w:sz w:val="32"/>
          <w:szCs w:val="32"/>
          <w:u w:val="none"/>
        </w:rPr>
        <w:t>经查，</w:t>
      </w:r>
      <w:r>
        <w:rPr>
          <w:rFonts w:hint="eastAsia" w:ascii="Times New Roman" w:hAnsi="Times New Roman" w:eastAsia="仿宋_GB2312" w:cs="仿宋_GB2312"/>
          <w:sz w:val="32"/>
          <w:szCs w:val="32"/>
          <w:u w:val="none"/>
          <w:lang w:val="en-US" w:eastAsia="zh-CN"/>
        </w:rPr>
        <w:t>2022年10月5日，当事人购进</w:t>
      </w:r>
      <w:r>
        <w:rPr>
          <w:rFonts w:hint="eastAsia" w:ascii="Times New Roman" w:hAnsi="Times New Roman" w:eastAsia="仿宋_GB2312" w:cs="仿宋_GB2312"/>
          <w:sz w:val="32"/>
          <w:szCs w:val="32"/>
          <w:u w:val="none"/>
        </w:rPr>
        <w:t>95号车用乙醇汽油（E10）（VIA）</w:t>
      </w:r>
      <w:r>
        <w:rPr>
          <w:rFonts w:hint="eastAsia" w:ascii="Times New Roman" w:hAnsi="Times New Roman" w:eastAsia="仿宋_GB2312" w:cs="仿宋_GB2312"/>
          <w:sz w:val="32"/>
          <w:szCs w:val="32"/>
          <w:u w:val="none"/>
          <w:lang w:val="en-US" w:eastAsia="zh-CN"/>
        </w:rPr>
        <w:t>5吨，灌装于当事人加油站内2号罐中销售。当事人进货价格为8830元/吨，依据涉案95号</w:t>
      </w:r>
      <w:r>
        <w:rPr>
          <w:rFonts w:hint="eastAsia" w:ascii="Times New Roman" w:hAnsi="Times New Roman" w:eastAsia="仿宋_GB2312" w:cs="仿宋_GB2312"/>
          <w:sz w:val="32"/>
          <w:szCs w:val="32"/>
          <w:u w:val="none"/>
        </w:rPr>
        <w:t>车用乙醇汽油（E10）（VIA）</w:t>
      </w:r>
      <w:r>
        <w:rPr>
          <w:rFonts w:hint="eastAsia" w:ascii="Times New Roman" w:hAnsi="Times New Roman" w:eastAsia="仿宋_GB2312" w:cs="仿宋_GB2312"/>
          <w:sz w:val="32"/>
          <w:szCs w:val="32"/>
          <w:u w:val="none"/>
          <w:lang w:eastAsia="zh-CN"/>
        </w:rPr>
        <w:t>体积质量转换系数</w:t>
      </w:r>
      <w:r>
        <w:rPr>
          <w:rFonts w:hint="eastAsia" w:ascii="Times New Roman" w:hAnsi="Times New Roman" w:eastAsia="仿宋_GB2312" w:cs="仿宋_GB2312"/>
          <w:sz w:val="32"/>
          <w:szCs w:val="32"/>
          <w:u w:val="none"/>
          <w:lang w:val="en-US" w:eastAsia="zh-CN"/>
        </w:rPr>
        <w:t>1380L/吨计算，当事人进货价格为6.39元/升。当事人以7.48元/升的价格对外销售。截至2022年10月11日，当事人共售出上述95号车用乙醇汽</w:t>
      </w:r>
      <w:r>
        <w:rPr>
          <w:rFonts w:hint="eastAsia" w:ascii="Times New Roman" w:hAnsi="Times New Roman" w:eastAsia="仿宋_GB2312" w:cs="仿宋_GB2312"/>
          <w:sz w:val="32"/>
          <w:szCs w:val="32"/>
          <w:u w:val="none"/>
        </w:rPr>
        <w:t>油（E10）（VIA）</w:t>
      </w:r>
      <w:r>
        <w:rPr>
          <w:rFonts w:hint="eastAsia" w:ascii="Times New Roman" w:hAnsi="Times New Roman" w:eastAsia="仿宋_GB2312" w:cs="仿宋_GB2312"/>
          <w:sz w:val="32"/>
          <w:szCs w:val="32"/>
          <w:u w:val="none"/>
          <w:lang w:val="en-US" w:eastAsia="zh-CN"/>
        </w:rPr>
        <w:t>1111升。</w:t>
      </w:r>
    </w:p>
    <w:p>
      <w:pPr>
        <w:spacing w:line="360" w:lineRule="auto"/>
        <w:ind w:firstLine="640" w:firstLineChars="200"/>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又查，2022年10月11日，</w:t>
      </w:r>
      <w:r>
        <w:rPr>
          <w:rFonts w:hint="eastAsia" w:ascii="Times New Roman" w:hAnsi="Times New Roman" w:eastAsia="仿宋_GB2312" w:cs="仿宋_GB2312"/>
          <w:sz w:val="32"/>
          <w:szCs w:val="32"/>
          <w:u w:val="none"/>
        </w:rPr>
        <w:t>天津市市场监督管理委员会</w:t>
      </w:r>
      <w:r>
        <w:rPr>
          <w:rFonts w:hint="eastAsia" w:ascii="Times New Roman" w:hAnsi="Times New Roman" w:eastAsia="仿宋_GB2312" w:cs="仿宋_GB2312"/>
          <w:sz w:val="32"/>
          <w:szCs w:val="32"/>
          <w:u w:val="none"/>
          <w:lang w:val="en-US" w:eastAsia="zh-CN"/>
        </w:rPr>
        <w:t>委托天津市产品质量监督检测技术研究院对当事人上述</w:t>
      </w:r>
      <w:r>
        <w:rPr>
          <w:rFonts w:hint="eastAsia" w:ascii="Times New Roman" w:hAnsi="Times New Roman" w:eastAsia="仿宋_GB2312" w:cs="仿宋_GB2312"/>
          <w:sz w:val="32"/>
          <w:szCs w:val="32"/>
          <w:u w:val="none"/>
        </w:rPr>
        <w:t>95号车用乙醇汽油（E10）（VIA）</w:t>
      </w:r>
      <w:r>
        <w:rPr>
          <w:rFonts w:hint="eastAsia" w:ascii="Times New Roman" w:hAnsi="Times New Roman" w:eastAsia="仿宋_GB2312" w:cs="仿宋_GB2312"/>
          <w:sz w:val="32"/>
          <w:szCs w:val="32"/>
          <w:u w:val="none"/>
          <w:lang w:val="en-US" w:eastAsia="zh-CN"/>
        </w:rPr>
        <w:t>进行</w:t>
      </w:r>
      <w:r>
        <w:rPr>
          <w:rFonts w:hint="eastAsia" w:ascii="Times New Roman" w:hAnsi="Times New Roman" w:eastAsia="仿宋_GB2312" w:cs="仿宋_GB2312"/>
          <w:color w:val="000000"/>
          <w:sz w:val="32"/>
          <w:szCs w:val="32"/>
          <w:u w:val="none"/>
          <w:lang w:val="en-US" w:eastAsia="zh-CN"/>
        </w:rPr>
        <w:t>抽样。</w:t>
      </w:r>
      <w:r>
        <w:rPr>
          <w:rFonts w:hint="eastAsia" w:ascii="Times New Roman" w:hAnsi="Times New Roman" w:eastAsia="仿宋_GB2312" w:cs="仿宋_GB2312"/>
          <w:sz w:val="32"/>
          <w:szCs w:val="32"/>
          <w:u w:val="none"/>
          <w:lang w:val="en-US" w:eastAsia="zh-CN"/>
        </w:rPr>
        <w:t>2022年10月12日，谱尼测试科技（天津）有限公司出具检测报告（文号：FQFLFZSM0469318R2），检测结论为当事人2号罐内中待售的</w:t>
      </w:r>
      <w:r>
        <w:rPr>
          <w:rFonts w:hint="eastAsia" w:ascii="Times New Roman" w:hAnsi="Times New Roman" w:eastAsia="仿宋_GB2312" w:cs="仿宋_GB2312"/>
          <w:sz w:val="32"/>
          <w:szCs w:val="32"/>
          <w:u w:val="none"/>
        </w:rPr>
        <w:t>95号车用乙醇汽油（E10）（VIA）</w:t>
      </w:r>
      <w:r>
        <w:rPr>
          <w:rFonts w:hint="eastAsia" w:ascii="Times New Roman" w:hAnsi="Times New Roman" w:eastAsia="仿宋_GB2312" w:cs="仿宋_GB2312"/>
          <w:sz w:val="32"/>
          <w:szCs w:val="32"/>
          <w:u w:val="none"/>
          <w:lang w:val="en-US" w:eastAsia="zh-CN"/>
        </w:rPr>
        <w:t>中乙醇含量（体积分数）和其他有机含氧化合物含量（质量分数）项目不符合GB 18351-2017（VIA）标准要求，检测结论为不合格。</w:t>
      </w:r>
    </w:p>
    <w:p>
      <w:pPr>
        <w:spacing w:line="360" w:lineRule="auto"/>
        <w:ind w:firstLine="640" w:firstLineChars="200"/>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再查，2022年10月11日抽样检测后，当事人购进</w:t>
      </w:r>
      <w:r>
        <w:rPr>
          <w:rFonts w:hint="eastAsia" w:ascii="Times New Roman" w:hAnsi="Times New Roman" w:eastAsia="仿宋_GB2312" w:cs="仿宋_GB2312"/>
          <w:sz w:val="32"/>
          <w:szCs w:val="32"/>
          <w:u w:val="none"/>
        </w:rPr>
        <w:t>95号车用乙醇汽油（E10）（VIA）</w:t>
      </w:r>
      <w:r>
        <w:rPr>
          <w:rFonts w:hint="eastAsia" w:ascii="Times New Roman" w:hAnsi="Times New Roman" w:eastAsia="仿宋_GB2312" w:cs="仿宋_GB2312"/>
          <w:sz w:val="32"/>
          <w:szCs w:val="32"/>
          <w:u w:val="none"/>
          <w:lang w:val="en-US" w:eastAsia="zh-CN"/>
        </w:rPr>
        <w:t>15吨，</w:t>
      </w:r>
      <w:r>
        <w:rPr>
          <w:rFonts w:hint="eastAsia" w:ascii="Times New Roman" w:hAnsi="Times New Roman" w:eastAsia="仿宋_GB2312" w:cs="仿宋_GB2312"/>
          <w:sz w:val="32"/>
          <w:szCs w:val="32"/>
          <w:u w:val="none"/>
          <w:lang w:eastAsia="zh-CN"/>
        </w:rPr>
        <w:t>并灌入加油站</w:t>
      </w:r>
      <w:r>
        <w:rPr>
          <w:rFonts w:hint="eastAsia" w:ascii="Times New Roman" w:hAnsi="Times New Roman" w:eastAsia="仿宋_GB2312" w:cs="仿宋_GB2312"/>
          <w:sz w:val="32"/>
          <w:szCs w:val="32"/>
          <w:u w:val="none"/>
          <w:lang w:val="en-US" w:eastAsia="zh-CN"/>
        </w:rPr>
        <w:t>2号罐内和原有不合格汽油混合，对外销售。2022年10月21日，我局委托天津市产品质量监督检测技术研究院对该混合汽油进行了抽样检测，同日天津市产品质量监督检测技术研究院出具检测报告（文号：TQT03-3847-2022），检测结论为合格。</w:t>
      </w:r>
    </w:p>
    <w:p>
      <w:pPr>
        <w:spacing w:line="360" w:lineRule="auto"/>
        <w:ind w:firstLine="640" w:firstLineChars="200"/>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当事人上述行为满足</w:t>
      </w:r>
      <w:r>
        <w:rPr>
          <w:rFonts w:hint="eastAsia" w:ascii="Times New Roman" w:hAnsi="Times New Roman" w:eastAsia="仿宋_GB2312" w:cs="仿宋_GB2312"/>
          <w:sz w:val="32"/>
          <w:szCs w:val="32"/>
          <w:u w:val="none"/>
        </w:rPr>
        <w:t>销售不符合国家标准的车用</w:t>
      </w:r>
      <w:r>
        <w:rPr>
          <w:rFonts w:hint="eastAsia" w:ascii="Times New Roman" w:hAnsi="Times New Roman" w:eastAsia="仿宋_GB2312" w:cs="仿宋_GB2312"/>
          <w:sz w:val="32"/>
          <w:szCs w:val="32"/>
          <w:u w:val="none"/>
          <w:lang w:eastAsia="zh-CN"/>
        </w:rPr>
        <w:t>乙醇汽油</w:t>
      </w:r>
      <w:r>
        <w:rPr>
          <w:rFonts w:hint="eastAsia" w:ascii="Times New Roman" w:hAnsi="Times New Roman" w:eastAsia="仿宋_GB2312" w:cs="仿宋_GB2312"/>
          <w:sz w:val="32"/>
          <w:szCs w:val="32"/>
          <w:u w:val="none"/>
        </w:rPr>
        <w:t>的</w:t>
      </w:r>
      <w:r>
        <w:rPr>
          <w:rFonts w:hint="eastAsia" w:ascii="Times New Roman" w:hAnsi="Times New Roman" w:eastAsia="仿宋_GB2312" w:cs="仿宋_GB2312"/>
          <w:sz w:val="32"/>
          <w:szCs w:val="32"/>
          <w:u w:val="none"/>
          <w:lang w:eastAsia="zh-CN"/>
        </w:rPr>
        <w:t>构成要件</w:t>
      </w:r>
      <w:r>
        <w:rPr>
          <w:rFonts w:hint="eastAsia" w:ascii="Times New Roman" w:hAnsi="Times New Roman" w:eastAsia="仿宋_GB2312" w:cs="仿宋_GB2312"/>
          <w:sz w:val="32"/>
          <w:szCs w:val="32"/>
          <w:u w:val="none"/>
          <w:lang w:val="en-US" w:eastAsia="zh-CN"/>
        </w:rPr>
        <w:t>，依照当事人的销售价格、销售数量、不合格产品数量计算，当事人货值金额51612元，违法所得1210.99元。</w:t>
      </w:r>
    </w:p>
    <w:p>
      <w:pPr>
        <w:numPr>
          <w:ilvl w:val="0"/>
          <w:numId w:val="0"/>
        </w:numPr>
        <w:spacing w:line="360" w:lineRule="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lang w:val="en-US" w:eastAsia="zh-CN"/>
        </w:rPr>
        <w:t xml:space="preserve">    </w:t>
      </w:r>
      <w:r>
        <w:rPr>
          <w:rFonts w:ascii="Times New Roman" w:hAnsi="Times New Roman" w:eastAsia="仿宋_GB2312" w:cs="Mongolian Baiti"/>
          <w:kern w:val="1"/>
          <w:sz w:val="32"/>
          <w:szCs w:val="32"/>
          <w:u w:val="none"/>
        </w:rPr>
        <w:t>上述事实，主要有以下证据证明：</w:t>
      </w:r>
    </w:p>
    <w:p>
      <w:pPr>
        <w:numPr>
          <w:ilvl w:val="0"/>
          <w:numId w:val="0"/>
        </w:numPr>
        <w:spacing w:line="360" w:lineRule="auto"/>
        <w:rPr>
          <w:rFonts w:hint="eastAsia" w:ascii="Times New Roman" w:hAnsi="Times New Roman" w:eastAsia="仿宋_GB2312" w:cs="仿宋_GB2312"/>
          <w:sz w:val="32"/>
          <w:szCs w:val="32"/>
          <w:u w:val="none"/>
        </w:rPr>
      </w:pP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仿宋_GB2312"/>
          <w:sz w:val="32"/>
          <w:szCs w:val="32"/>
          <w:u w:val="none"/>
        </w:rPr>
        <w:t xml:space="preserve"> </w:t>
      </w:r>
      <w:r>
        <w:rPr>
          <w:rFonts w:hint="eastAsia" w:ascii="Times New Roman" w:hAnsi="Times New Roman" w:eastAsia="仿宋_GB2312" w:cs="仿宋_GB2312"/>
          <w:sz w:val="32"/>
          <w:szCs w:val="32"/>
          <w:u w:val="none"/>
          <w:lang w:val="en-US" w:eastAsia="zh-CN"/>
        </w:rPr>
        <w:t>1.</w:t>
      </w:r>
      <w:r>
        <w:rPr>
          <w:rFonts w:hint="eastAsia" w:ascii="Times New Roman" w:hAnsi="Times New Roman" w:eastAsia="仿宋_GB2312" w:cs="仿宋_GB2312"/>
          <w:sz w:val="32"/>
          <w:szCs w:val="32"/>
          <w:u w:val="none"/>
        </w:rPr>
        <w:t>当事人营业执照复印件、</w:t>
      </w:r>
      <w:r>
        <w:rPr>
          <w:rFonts w:hint="eastAsia" w:ascii="Times New Roman" w:hAnsi="Times New Roman" w:eastAsia="仿宋_GB2312" w:cs="仿宋_GB2312"/>
          <w:sz w:val="32"/>
          <w:szCs w:val="32"/>
          <w:u w:val="none"/>
          <w:lang w:eastAsia="zh-CN"/>
        </w:rPr>
        <w:t>当事人</w:t>
      </w:r>
      <w:r>
        <w:rPr>
          <w:rFonts w:hint="eastAsia" w:ascii="Times New Roman" w:hAnsi="Times New Roman" w:eastAsia="仿宋_GB2312" w:cs="仿宋_GB2312"/>
          <w:sz w:val="32"/>
          <w:szCs w:val="32"/>
          <w:u w:val="none"/>
        </w:rPr>
        <w:t>危险化学品经营许可证</w:t>
      </w:r>
      <w:r>
        <w:rPr>
          <w:rFonts w:hint="eastAsia" w:ascii="Times New Roman" w:hAnsi="Times New Roman" w:eastAsia="仿宋_GB2312" w:cs="仿宋_GB2312"/>
          <w:sz w:val="32"/>
          <w:szCs w:val="32"/>
          <w:u w:val="none"/>
          <w:lang w:eastAsia="zh-CN"/>
        </w:rPr>
        <w:t>复印件、当事人</w:t>
      </w:r>
      <w:r>
        <w:rPr>
          <w:rFonts w:hint="eastAsia" w:ascii="Times New Roman" w:hAnsi="Times New Roman" w:eastAsia="仿宋_GB2312" w:cs="仿宋_GB2312"/>
          <w:sz w:val="32"/>
          <w:szCs w:val="32"/>
          <w:u w:val="none"/>
        </w:rPr>
        <w:t>成品油零售经营批准证书</w:t>
      </w:r>
      <w:r>
        <w:rPr>
          <w:rFonts w:hint="eastAsia" w:ascii="Times New Roman" w:hAnsi="Times New Roman" w:eastAsia="仿宋_GB2312" w:cs="仿宋_GB2312"/>
          <w:sz w:val="32"/>
          <w:szCs w:val="32"/>
          <w:u w:val="none"/>
          <w:lang w:eastAsia="zh-CN"/>
        </w:rPr>
        <w:t>复印件、当事人法定代表人魏顺源身份证复印件、授权委托书、被委托人苏汉杰身份证复印件</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eastAsia="zh-CN"/>
        </w:rPr>
        <w:t>证明</w:t>
      </w:r>
      <w:r>
        <w:rPr>
          <w:rFonts w:hint="eastAsia" w:ascii="Times New Roman" w:hAnsi="Times New Roman" w:eastAsia="仿宋_GB2312" w:cs="仿宋_GB2312"/>
          <w:sz w:val="32"/>
          <w:szCs w:val="32"/>
          <w:u w:val="none"/>
        </w:rPr>
        <w:t>当事人的主体资格</w:t>
      </w:r>
      <w:r>
        <w:rPr>
          <w:rFonts w:hint="eastAsia" w:ascii="Times New Roman" w:hAnsi="Times New Roman" w:eastAsia="仿宋_GB2312" w:cs="仿宋_GB2312"/>
          <w:sz w:val="32"/>
          <w:szCs w:val="32"/>
          <w:u w:val="none"/>
          <w:lang w:eastAsia="zh-CN"/>
        </w:rPr>
        <w:t>、当事人法定代表人身份</w:t>
      </w:r>
      <w:r>
        <w:rPr>
          <w:rFonts w:hint="eastAsia" w:ascii="Times New Roman" w:hAnsi="Times New Roman" w:eastAsia="仿宋_GB2312" w:cs="仿宋_GB2312"/>
          <w:sz w:val="32"/>
          <w:szCs w:val="32"/>
          <w:u w:val="none"/>
        </w:rPr>
        <w:t>及当事人代理人的身份</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代理权限；</w:t>
      </w:r>
    </w:p>
    <w:p>
      <w:pPr>
        <w:numPr>
          <w:ilvl w:val="0"/>
          <w:numId w:val="0"/>
        </w:numPr>
        <w:spacing w:line="360" w:lineRule="auto"/>
        <w:ind w:firstLine="640"/>
        <w:rPr>
          <w:rFonts w:hint="default"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2.谱尼测试科技（天津）有限公司出具的检测报告（文号：FQFLFZSM0469318R2）以及《中华人民共和国国家标准 车用乙醇汽油（E10）》（GB 18351-2017），证明当事人</w:t>
      </w:r>
      <w:r>
        <w:rPr>
          <w:rFonts w:hint="eastAsia" w:ascii="Times New Roman" w:hAnsi="Times New Roman" w:eastAsia="仿宋_GB2312" w:cs="仿宋_GB2312"/>
          <w:sz w:val="32"/>
          <w:szCs w:val="32"/>
          <w:u w:val="none"/>
        </w:rPr>
        <w:t>销售不符合国家标准的车用</w:t>
      </w:r>
      <w:r>
        <w:rPr>
          <w:rFonts w:hint="eastAsia" w:ascii="Times New Roman" w:hAnsi="Times New Roman" w:eastAsia="仿宋_GB2312" w:cs="仿宋_GB2312"/>
          <w:sz w:val="32"/>
          <w:szCs w:val="32"/>
          <w:u w:val="none"/>
          <w:lang w:eastAsia="zh-CN"/>
        </w:rPr>
        <w:t>乙醇汽油行为</w:t>
      </w:r>
      <w:r>
        <w:rPr>
          <w:rFonts w:hint="eastAsia" w:ascii="Times New Roman" w:hAnsi="Times New Roman" w:eastAsia="仿宋_GB2312" w:cs="仿宋_GB2312"/>
          <w:sz w:val="32"/>
          <w:szCs w:val="32"/>
          <w:u w:val="none"/>
        </w:rPr>
        <w:t>的事实</w:t>
      </w:r>
      <w:r>
        <w:rPr>
          <w:rFonts w:hint="eastAsia" w:ascii="Times New Roman" w:hAnsi="Times New Roman" w:eastAsia="仿宋_GB2312" w:cs="仿宋_GB2312"/>
          <w:sz w:val="32"/>
          <w:szCs w:val="32"/>
          <w:u w:val="none"/>
          <w:lang w:eastAsia="zh-CN"/>
        </w:rPr>
        <w:t>；</w:t>
      </w:r>
    </w:p>
    <w:p>
      <w:pPr>
        <w:spacing w:line="360" w:lineRule="auto"/>
        <w:ind w:firstLine="640" w:firstLineChars="200"/>
        <w:rPr>
          <w:rFonts w:hint="eastAsia" w:ascii="Times New Roman" w:hAnsi="Times New Roman" w:eastAsia="仿宋_GB2312" w:cs="仿宋_GB2312"/>
          <w:sz w:val="32"/>
          <w:szCs w:val="32"/>
          <w:u w:val="none"/>
          <w:lang w:eastAsia="zh-CN"/>
        </w:rPr>
      </w:pPr>
      <w:r>
        <w:rPr>
          <w:rFonts w:hint="eastAsia" w:ascii="Times New Roman" w:hAnsi="Times New Roman" w:eastAsia="仿宋_GB2312" w:cs="仿宋_GB2312"/>
          <w:sz w:val="32"/>
          <w:szCs w:val="32"/>
          <w:u w:val="none"/>
          <w:lang w:val="en-US" w:eastAsia="zh-CN"/>
        </w:rPr>
        <w:t>3</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val="en-US" w:eastAsia="zh-CN"/>
        </w:rPr>
        <w:t>2022年10月12日</w:t>
      </w:r>
      <w:r>
        <w:rPr>
          <w:rFonts w:hint="eastAsia" w:ascii="Times New Roman" w:hAnsi="Times New Roman" w:eastAsia="仿宋_GB2312" w:cs="仿宋_GB2312"/>
          <w:sz w:val="32"/>
          <w:szCs w:val="32"/>
          <w:u w:val="none"/>
        </w:rPr>
        <w:t>对当事人制作的现场笔录、</w:t>
      </w:r>
      <w:r>
        <w:rPr>
          <w:rFonts w:hint="eastAsia" w:ascii="Times New Roman" w:hAnsi="Times New Roman" w:eastAsia="仿宋_GB2312" w:cs="仿宋_GB2312"/>
          <w:sz w:val="32"/>
          <w:szCs w:val="32"/>
          <w:u w:val="none"/>
          <w:lang w:val="en-US" w:eastAsia="zh-CN"/>
        </w:rPr>
        <w:t>2022年10月12日</w:t>
      </w:r>
      <w:r>
        <w:rPr>
          <w:rFonts w:hint="eastAsia" w:ascii="Times New Roman" w:hAnsi="Times New Roman" w:eastAsia="仿宋_GB2312" w:cs="仿宋_GB2312"/>
          <w:sz w:val="32"/>
          <w:szCs w:val="32"/>
          <w:u w:val="none"/>
        </w:rPr>
        <w:t>现场检查照片打印件</w:t>
      </w:r>
      <w:r>
        <w:rPr>
          <w:rFonts w:hint="eastAsia" w:ascii="Times New Roman" w:hAnsi="Times New Roman" w:eastAsia="仿宋_GB2312" w:cs="仿宋_GB2312"/>
          <w:sz w:val="32"/>
          <w:szCs w:val="32"/>
          <w:u w:val="none"/>
          <w:lang w:val="en-US" w:eastAsia="zh-CN"/>
        </w:rPr>
        <w:t>、进货票据、2022年10月13日和2022年10月15日</w:t>
      </w:r>
      <w:r>
        <w:rPr>
          <w:rFonts w:hint="eastAsia" w:ascii="Times New Roman" w:hAnsi="Times New Roman" w:eastAsia="仿宋_GB2312" w:cs="仿宋_GB2312"/>
          <w:sz w:val="32"/>
          <w:szCs w:val="32"/>
          <w:u w:val="none"/>
        </w:rPr>
        <w:t>对</w:t>
      </w:r>
      <w:r>
        <w:rPr>
          <w:rFonts w:hint="eastAsia" w:ascii="Times New Roman" w:hAnsi="Times New Roman" w:eastAsia="仿宋_GB2312" w:cs="仿宋_GB2312"/>
          <w:sz w:val="32"/>
          <w:szCs w:val="32"/>
          <w:u w:val="none"/>
          <w:lang w:eastAsia="zh-CN"/>
        </w:rPr>
        <w:t>被委托人苏汉杰</w:t>
      </w:r>
      <w:r>
        <w:rPr>
          <w:rFonts w:hint="eastAsia" w:ascii="Times New Roman" w:hAnsi="Times New Roman" w:eastAsia="仿宋_GB2312" w:cs="仿宋_GB2312"/>
          <w:sz w:val="32"/>
          <w:szCs w:val="32"/>
          <w:u w:val="none"/>
        </w:rPr>
        <w:t>制作</w:t>
      </w:r>
      <w:r>
        <w:rPr>
          <w:rFonts w:hint="eastAsia" w:ascii="Times New Roman" w:hAnsi="Times New Roman" w:eastAsia="仿宋_GB2312" w:cs="仿宋_GB2312"/>
          <w:sz w:val="32"/>
          <w:szCs w:val="32"/>
          <w:u w:val="none"/>
          <w:lang w:eastAsia="zh-CN"/>
        </w:rPr>
        <w:t>的两份</w:t>
      </w:r>
      <w:r>
        <w:rPr>
          <w:rFonts w:hint="eastAsia" w:ascii="Times New Roman" w:hAnsi="Times New Roman" w:eastAsia="仿宋_GB2312" w:cs="仿宋_GB2312"/>
          <w:sz w:val="32"/>
          <w:szCs w:val="32"/>
          <w:u w:val="none"/>
        </w:rPr>
        <w:t>询问笔录，证明当事人销售不符合国家标准的车用</w:t>
      </w:r>
      <w:r>
        <w:rPr>
          <w:rFonts w:hint="eastAsia" w:ascii="Times New Roman" w:hAnsi="Times New Roman" w:eastAsia="仿宋_GB2312" w:cs="仿宋_GB2312"/>
          <w:sz w:val="32"/>
          <w:szCs w:val="32"/>
          <w:u w:val="none"/>
          <w:lang w:eastAsia="zh-CN"/>
        </w:rPr>
        <w:t>乙醇汽油行为</w:t>
      </w:r>
      <w:r>
        <w:rPr>
          <w:rFonts w:hint="eastAsia" w:ascii="Times New Roman" w:hAnsi="Times New Roman" w:eastAsia="仿宋_GB2312" w:cs="仿宋_GB2312"/>
          <w:sz w:val="32"/>
          <w:szCs w:val="32"/>
          <w:u w:val="none"/>
        </w:rPr>
        <w:t>的事实和情节</w:t>
      </w:r>
      <w:r>
        <w:rPr>
          <w:rFonts w:hint="eastAsia" w:ascii="Times New Roman" w:hAnsi="Times New Roman" w:eastAsia="仿宋_GB2312" w:cs="仿宋_GB2312"/>
          <w:sz w:val="32"/>
          <w:szCs w:val="32"/>
          <w:u w:val="none"/>
          <w:lang w:eastAsia="zh-CN"/>
        </w:rPr>
        <w:t>；</w:t>
      </w:r>
    </w:p>
    <w:p>
      <w:pPr>
        <w:numPr>
          <w:ilvl w:val="0"/>
          <w:numId w:val="0"/>
        </w:numPr>
        <w:spacing w:line="360" w:lineRule="auto"/>
        <w:rPr>
          <w:rFonts w:hint="eastAsia" w:ascii="Times New Roman" w:hAnsi="Times New Roman" w:eastAsia="仿宋_GB2312" w:cs="仿宋_GB2312"/>
          <w:sz w:val="32"/>
          <w:szCs w:val="32"/>
          <w:u w:val="none"/>
          <w:lang w:eastAsia="zh-CN"/>
        </w:rPr>
      </w:pPr>
      <w:r>
        <w:rPr>
          <w:rFonts w:hint="eastAsia" w:ascii="Times New Roman" w:hAnsi="Times New Roman" w:eastAsia="仿宋_GB2312" w:cs="仿宋_GB2312"/>
          <w:sz w:val="32"/>
          <w:szCs w:val="32"/>
          <w:u w:val="none"/>
          <w:lang w:val="en-US" w:eastAsia="zh-CN"/>
        </w:rPr>
        <w:t xml:space="preserve">    4.天津市产品质量监督检测技术研究院出具检测报告（文号：TQT03-3847-2022），证明当事人加油站2号罐内查封的</w:t>
      </w:r>
      <w:r>
        <w:rPr>
          <w:rFonts w:hint="eastAsia" w:ascii="Times New Roman" w:hAnsi="Times New Roman" w:eastAsia="仿宋_GB2312" w:cs="仿宋_GB2312"/>
          <w:sz w:val="32"/>
          <w:szCs w:val="32"/>
          <w:u w:val="none"/>
        </w:rPr>
        <w:t>95号车用乙醇汽油（E10）（VIA）</w:t>
      </w:r>
      <w:r>
        <w:rPr>
          <w:rFonts w:hint="eastAsia" w:ascii="Times New Roman" w:hAnsi="Times New Roman" w:eastAsia="仿宋_GB2312" w:cs="仿宋_GB2312"/>
          <w:sz w:val="32"/>
          <w:szCs w:val="32"/>
          <w:u w:val="none"/>
          <w:lang w:eastAsia="zh-CN"/>
        </w:rPr>
        <w:t>合格</w:t>
      </w:r>
      <w:r>
        <w:rPr>
          <w:rFonts w:hint="eastAsia" w:ascii="Times New Roman" w:hAnsi="Times New Roman" w:eastAsia="仿宋_GB2312" w:cs="仿宋_GB2312"/>
          <w:sz w:val="32"/>
          <w:szCs w:val="32"/>
          <w:u w:val="none"/>
        </w:rPr>
        <w:t>的事实</w:t>
      </w:r>
      <w:r>
        <w:rPr>
          <w:rFonts w:hint="eastAsia" w:ascii="Times New Roman" w:hAnsi="Times New Roman" w:eastAsia="仿宋_GB2312" w:cs="仿宋_GB2312"/>
          <w:sz w:val="32"/>
          <w:szCs w:val="32"/>
          <w:u w:val="none"/>
          <w:lang w:eastAsia="zh-CN"/>
        </w:rPr>
        <w:t>；</w:t>
      </w:r>
    </w:p>
    <w:p>
      <w:pPr>
        <w:spacing w:line="360" w:lineRule="auto"/>
        <w:ind w:firstLine="640" w:firstLineChars="200"/>
        <w:rPr>
          <w:rFonts w:ascii="Times New Roman" w:hAnsi="Times New Roman" w:eastAsia="仿宋_GB2312" w:cs="仿宋_GB2312"/>
          <w:color w:val="000000"/>
          <w:kern w:val="0"/>
          <w:sz w:val="32"/>
          <w:szCs w:val="32"/>
          <w:u w:val="none"/>
        </w:rPr>
      </w:pPr>
      <w:r>
        <w:rPr>
          <w:rFonts w:hint="eastAsia" w:ascii="Times New Roman" w:hAnsi="Times New Roman" w:eastAsia="仿宋_GB2312" w:cs="仿宋_GB2312"/>
          <w:sz w:val="32"/>
          <w:szCs w:val="32"/>
          <w:u w:val="none"/>
          <w:lang w:val="en-US" w:eastAsia="zh-CN"/>
        </w:rPr>
        <w:t>5.</w:t>
      </w:r>
      <w:r>
        <w:rPr>
          <w:rFonts w:hint="eastAsia" w:ascii="Times New Roman" w:hAnsi="Times New Roman" w:eastAsia="仿宋_GB2312" w:cs="仿宋_GB2312"/>
          <w:sz w:val="32"/>
          <w:szCs w:val="32"/>
          <w:u w:val="none"/>
          <w:lang w:eastAsia="zh-CN"/>
        </w:rPr>
        <w:t>货值金额与违法所得计算表</w:t>
      </w:r>
      <w:r>
        <w:rPr>
          <w:rFonts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eastAsia="zh-CN"/>
        </w:rPr>
        <w:t>证明当事人</w:t>
      </w:r>
      <w:r>
        <w:rPr>
          <w:rFonts w:hint="eastAsia" w:ascii="Times New Roman" w:hAnsi="Times New Roman" w:eastAsia="仿宋_GB2312" w:cs="仿宋_GB2312"/>
          <w:sz w:val="32"/>
          <w:szCs w:val="32"/>
          <w:u w:val="none"/>
        </w:rPr>
        <w:t>销售不符合国家标准的车用</w:t>
      </w:r>
      <w:r>
        <w:rPr>
          <w:rFonts w:hint="eastAsia" w:ascii="Times New Roman" w:hAnsi="Times New Roman" w:eastAsia="仿宋_GB2312" w:cs="仿宋_GB2312"/>
          <w:sz w:val="32"/>
          <w:szCs w:val="32"/>
          <w:u w:val="none"/>
          <w:lang w:eastAsia="zh-CN"/>
        </w:rPr>
        <w:t>乙醇汽油行为的</w:t>
      </w:r>
      <w:r>
        <w:rPr>
          <w:rFonts w:hint="eastAsia" w:ascii="Times New Roman" w:hAnsi="Times New Roman" w:eastAsia="仿宋_GB2312" w:cs="仿宋_GB2312"/>
          <w:sz w:val="32"/>
          <w:szCs w:val="32"/>
          <w:u w:val="none"/>
        </w:rPr>
        <w:t>货值金额与违法所得</w:t>
      </w:r>
      <w:r>
        <w:rPr>
          <w:rFonts w:hint="eastAsia" w:ascii="Times New Roman" w:hAnsi="Times New Roman" w:eastAsia="仿宋_GB2312" w:cs="仿宋_GB2312"/>
          <w:color w:val="0C0C0C"/>
          <w:sz w:val="32"/>
          <w:szCs w:val="32"/>
          <w:u w:val="none"/>
          <w:lang w:val="en-US" w:eastAsia="zh-CN"/>
        </w:rPr>
        <w:t>。</w:t>
      </w:r>
    </w:p>
    <w:p>
      <w:pPr>
        <w:tabs>
          <w:tab w:val="left" w:pos="8405"/>
        </w:tabs>
        <w:autoSpaceDE w:val="0"/>
        <w:autoSpaceDN w:val="0"/>
        <w:adjustRightInd w:val="0"/>
        <w:spacing w:line="360" w:lineRule="auto"/>
        <w:ind w:firstLine="627" w:firstLineChars="196"/>
        <w:jc w:val="left"/>
        <w:rPr>
          <w:rFonts w:ascii="Times New Roman" w:hAnsi="Times New Roman" w:eastAsia="仿宋_GB2312" w:cs="仿宋_GB2312"/>
          <w:color w:val="000000"/>
          <w:kern w:val="0"/>
          <w:sz w:val="32"/>
          <w:szCs w:val="32"/>
          <w:u w:val="none"/>
        </w:rPr>
      </w:pPr>
      <w:r>
        <w:rPr>
          <w:rFonts w:hint="eastAsia" w:ascii="Times New Roman" w:hAnsi="Times New Roman" w:eastAsia="仿宋_GB2312" w:cs="仿宋_GB2312"/>
          <w:color w:val="000000"/>
          <w:kern w:val="0"/>
          <w:sz w:val="32"/>
          <w:szCs w:val="32"/>
          <w:u w:val="none"/>
        </w:rPr>
        <w:t>本局于202</w:t>
      </w:r>
      <w:r>
        <w:rPr>
          <w:rFonts w:hint="eastAsia" w:ascii="Times New Roman" w:hAnsi="Times New Roman" w:eastAsia="仿宋_GB2312" w:cs="仿宋_GB2312"/>
          <w:color w:val="000000"/>
          <w:kern w:val="0"/>
          <w:sz w:val="32"/>
          <w:szCs w:val="32"/>
          <w:u w:val="none"/>
          <w:lang w:val="en-US" w:eastAsia="zh-CN"/>
        </w:rPr>
        <w:t>2</w:t>
      </w:r>
      <w:r>
        <w:rPr>
          <w:rFonts w:hint="eastAsia" w:ascii="Times New Roman" w:hAnsi="Times New Roman" w:eastAsia="仿宋_GB2312" w:cs="仿宋_GB2312"/>
          <w:color w:val="000000"/>
          <w:kern w:val="0"/>
          <w:sz w:val="32"/>
          <w:szCs w:val="32"/>
          <w:u w:val="none"/>
        </w:rPr>
        <w:t>年</w:t>
      </w:r>
      <w:r>
        <w:rPr>
          <w:rFonts w:hint="eastAsia" w:ascii="Times New Roman" w:hAnsi="Times New Roman" w:eastAsia="仿宋_GB2312" w:cs="仿宋_GB2312"/>
          <w:color w:val="000000"/>
          <w:kern w:val="0"/>
          <w:sz w:val="32"/>
          <w:szCs w:val="32"/>
          <w:u w:val="none"/>
          <w:lang w:val="en-US" w:eastAsia="zh-CN"/>
        </w:rPr>
        <w:t>10</w:t>
      </w:r>
      <w:r>
        <w:rPr>
          <w:rFonts w:hint="eastAsia" w:ascii="Times New Roman" w:hAnsi="Times New Roman" w:eastAsia="仿宋_GB2312" w:cs="仿宋_GB2312"/>
          <w:color w:val="000000"/>
          <w:kern w:val="0"/>
          <w:sz w:val="32"/>
          <w:szCs w:val="32"/>
          <w:u w:val="none"/>
        </w:rPr>
        <w:t>月</w:t>
      </w:r>
      <w:r>
        <w:rPr>
          <w:rFonts w:hint="eastAsia" w:ascii="Times New Roman" w:hAnsi="Times New Roman" w:eastAsia="仿宋_GB2312" w:cs="仿宋_GB2312"/>
          <w:color w:val="000000"/>
          <w:kern w:val="0"/>
          <w:sz w:val="32"/>
          <w:szCs w:val="32"/>
          <w:u w:val="none"/>
          <w:lang w:val="en-US" w:eastAsia="zh-CN"/>
        </w:rPr>
        <w:t>21</w:t>
      </w:r>
      <w:r>
        <w:rPr>
          <w:rFonts w:hint="eastAsia" w:ascii="Times New Roman" w:hAnsi="Times New Roman" w:eastAsia="仿宋_GB2312" w:cs="仿宋_GB2312"/>
          <w:color w:val="000000"/>
          <w:kern w:val="0"/>
          <w:sz w:val="32"/>
          <w:szCs w:val="32"/>
          <w:u w:val="none"/>
        </w:rPr>
        <w:t>日依法向当事人送达了行政处罚</w:t>
      </w:r>
      <w:r>
        <w:rPr>
          <w:rFonts w:hint="eastAsia" w:ascii="Times New Roman" w:hAnsi="Times New Roman" w:eastAsia="仿宋_GB2312" w:cs="仿宋_GB2312"/>
          <w:color w:val="000000"/>
          <w:kern w:val="0"/>
          <w:sz w:val="32"/>
          <w:szCs w:val="32"/>
          <w:u w:val="none"/>
          <w:lang w:eastAsia="zh-CN"/>
        </w:rPr>
        <w:t>听证</w:t>
      </w:r>
      <w:r>
        <w:rPr>
          <w:rFonts w:hint="eastAsia" w:ascii="Times New Roman" w:hAnsi="Times New Roman" w:eastAsia="仿宋_GB2312" w:cs="仿宋_GB2312"/>
          <w:color w:val="000000"/>
          <w:kern w:val="0"/>
          <w:sz w:val="32"/>
          <w:szCs w:val="32"/>
          <w:u w:val="none"/>
        </w:rPr>
        <w:t>告知书（津辰市监</w:t>
      </w:r>
      <w:r>
        <w:rPr>
          <w:rFonts w:hint="eastAsia" w:ascii="Times New Roman" w:hAnsi="Times New Roman" w:eastAsia="仿宋_GB2312" w:cs="仿宋_GB2312"/>
          <w:color w:val="000000"/>
          <w:kern w:val="0"/>
          <w:sz w:val="32"/>
          <w:szCs w:val="32"/>
          <w:u w:val="none"/>
          <w:lang w:eastAsia="zh-CN"/>
        </w:rPr>
        <w:t>综</w:t>
      </w:r>
      <w:r>
        <w:rPr>
          <w:rFonts w:hint="eastAsia" w:ascii="Times New Roman" w:hAnsi="Times New Roman" w:eastAsia="仿宋_GB2312" w:cs="仿宋_GB2312"/>
          <w:color w:val="000000"/>
          <w:kern w:val="0"/>
          <w:sz w:val="32"/>
          <w:szCs w:val="32"/>
          <w:u w:val="none"/>
        </w:rPr>
        <w:t>罚告[202</w:t>
      </w:r>
      <w:r>
        <w:rPr>
          <w:rFonts w:hint="eastAsia" w:ascii="Times New Roman" w:hAnsi="Times New Roman" w:eastAsia="仿宋_GB2312" w:cs="仿宋_GB2312"/>
          <w:color w:val="000000"/>
          <w:kern w:val="0"/>
          <w:sz w:val="32"/>
          <w:szCs w:val="32"/>
          <w:u w:val="none"/>
          <w:lang w:val="en-US" w:eastAsia="zh-CN"/>
        </w:rPr>
        <w:t>2</w:t>
      </w:r>
      <w:r>
        <w:rPr>
          <w:rFonts w:hint="eastAsia" w:ascii="Times New Roman" w:hAnsi="Times New Roman" w:eastAsia="仿宋_GB2312" w:cs="仿宋_GB2312"/>
          <w:color w:val="000000"/>
          <w:kern w:val="0"/>
          <w:sz w:val="32"/>
          <w:szCs w:val="32"/>
          <w:u w:val="none"/>
        </w:rPr>
        <w:t>]</w:t>
      </w:r>
      <w:r>
        <w:rPr>
          <w:rFonts w:hint="eastAsia" w:ascii="Times New Roman" w:hAnsi="Times New Roman" w:eastAsia="仿宋_GB2312" w:cs="仿宋_GB2312"/>
          <w:color w:val="000000"/>
          <w:kern w:val="0"/>
          <w:sz w:val="32"/>
          <w:szCs w:val="32"/>
          <w:u w:val="none"/>
          <w:lang w:val="en-US" w:eastAsia="zh-CN"/>
        </w:rPr>
        <w:t>128</w:t>
      </w:r>
      <w:r>
        <w:rPr>
          <w:rFonts w:hint="eastAsia" w:ascii="Times New Roman" w:hAnsi="Times New Roman" w:eastAsia="仿宋_GB2312" w:cs="仿宋_GB2312"/>
          <w:color w:val="000000"/>
          <w:kern w:val="0"/>
          <w:sz w:val="32"/>
          <w:szCs w:val="32"/>
          <w:u w:val="none"/>
        </w:rPr>
        <w:t>号），当事人未</w:t>
      </w:r>
      <w:r>
        <w:rPr>
          <w:rFonts w:hint="eastAsia" w:ascii="Times New Roman" w:hAnsi="Times New Roman" w:eastAsia="仿宋_GB2312" w:cs="仿宋_GB2312"/>
          <w:color w:val="000000"/>
          <w:kern w:val="0"/>
          <w:sz w:val="32"/>
          <w:szCs w:val="32"/>
          <w:u w:val="none"/>
          <w:lang w:eastAsia="zh-CN"/>
        </w:rPr>
        <w:t>提出</w:t>
      </w:r>
      <w:r>
        <w:rPr>
          <w:rFonts w:hint="eastAsia" w:ascii="Times New Roman" w:hAnsi="Times New Roman" w:eastAsia="仿宋_GB2312" w:cs="仿宋_GB2312"/>
          <w:color w:val="000000"/>
          <w:kern w:val="0"/>
          <w:sz w:val="32"/>
          <w:szCs w:val="32"/>
          <w:u w:val="none"/>
        </w:rPr>
        <w:t>陈述、申辩</w:t>
      </w:r>
      <w:r>
        <w:rPr>
          <w:rFonts w:hint="eastAsia" w:ascii="Times New Roman" w:hAnsi="Times New Roman" w:eastAsia="仿宋_GB2312" w:cs="仿宋_GB2312"/>
          <w:color w:val="000000"/>
          <w:kern w:val="0"/>
          <w:sz w:val="32"/>
          <w:szCs w:val="32"/>
          <w:u w:val="none"/>
          <w:lang w:eastAsia="zh-CN"/>
        </w:rPr>
        <w:t>意见</w:t>
      </w:r>
      <w:r>
        <w:rPr>
          <w:rFonts w:hint="eastAsia" w:ascii="Times New Roman" w:hAnsi="Times New Roman" w:eastAsia="仿宋_GB2312" w:cs="仿宋_GB2312"/>
          <w:color w:val="000000"/>
          <w:kern w:val="0"/>
          <w:sz w:val="32"/>
          <w:szCs w:val="32"/>
          <w:u w:val="none"/>
        </w:rPr>
        <w:t>，</w:t>
      </w:r>
      <w:r>
        <w:rPr>
          <w:rFonts w:hint="eastAsia" w:ascii="Times New Roman" w:hAnsi="Times New Roman" w:eastAsia="仿宋_GB2312" w:cs="仿宋_GB2312"/>
          <w:color w:val="000000"/>
          <w:kern w:val="0"/>
          <w:sz w:val="32"/>
          <w:szCs w:val="32"/>
          <w:u w:val="none"/>
          <w:lang w:eastAsia="zh-CN"/>
        </w:rPr>
        <w:t>也</w:t>
      </w:r>
      <w:r>
        <w:rPr>
          <w:rFonts w:hint="eastAsia" w:ascii="Times New Roman" w:hAnsi="Times New Roman" w:eastAsia="仿宋_GB2312" w:cs="仿宋_GB2312"/>
          <w:color w:val="000000"/>
          <w:kern w:val="0"/>
          <w:sz w:val="32"/>
          <w:szCs w:val="32"/>
          <w:u w:val="none"/>
        </w:rPr>
        <w:t>未要求听证。</w:t>
      </w:r>
    </w:p>
    <w:p>
      <w:pPr>
        <w:tabs>
          <w:tab w:val="left" w:pos="8405"/>
        </w:tabs>
        <w:autoSpaceDE w:val="0"/>
        <w:autoSpaceDN w:val="0"/>
        <w:adjustRightInd w:val="0"/>
        <w:spacing w:line="360" w:lineRule="auto"/>
        <w:ind w:firstLine="627" w:firstLineChars="196"/>
        <w:jc w:val="left"/>
        <w:rPr>
          <w:rFonts w:ascii="Times New Roman" w:hAnsi="Times New Roman" w:eastAsia="仿宋_GB2312" w:cs="仿宋_GB2312"/>
          <w:color w:val="000000"/>
          <w:kern w:val="0"/>
          <w:sz w:val="32"/>
          <w:szCs w:val="32"/>
          <w:u w:val="none"/>
        </w:rPr>
      </w:pPr>
      <w:r>
        <w:rPr>
          <w:rFonts w:hint="eastAsia" w:ascii="仿宋_GB2312" w:hAnsi="Times New Roman" w:eastAsia="仿宋_GB2312" w:cs="Mongolian Baiti"/>
          <w:kern w:val="1"/>
          <w:sz w:val="32"/>
          <w:szCs w:val="32"/>
          <w:u w:val="none"/>
        </w:rPr>
        <w:t>本局认为，</w:t>
      </w:r>
      <w:r>
        <w:rPr>
          <w:rFonts w:hint="eastAsia" w:ascii="Times New Roman" w:hAnsi="Times New Roman" w:eastAsia="仿宋_GB2312" w:cs="仿宋_GB2312"/>
          <w:color w:val="000000"/>
          <w:kern w:val="0"/>
          <w:sz w:val="32"/>
          <w:szCs w:val="32"/>
          <w:u w:val="none"/>
        </w:rPr>
        <w:t>当事人上述行为违反了</w:t>
      </w:r>
      <w:r>
        <w:rPr>
          <w:rFonts w:hint="eastAsia" w:ascii="仿宋_GB2312" w:eastAsia="仿宋_GB2312" w:cs="仿宋_GB2312"/>
          <w:color w:val="000000"/>
          <w:kern w:val="1"/>
          <w:sz w:val="32"/>
          <w:szCs w:val="32"/>
          <w:u w:val="none"/>
        </w:rPr>
        <w:t>《中华人民共和国产品质量法》第十三条第二款“禁止生产、销售不符合保障人体健康和人身、财产安全的标准和要求的工业产品。具体管理办法由国务院规定”的规定</w:t>
      </w:r>
      <w:r>
        <w:rPr>
          <w:rFonts w:hint="eastAsia" w:ascii="Times New Roman" w:hAnsi="Times New Roman" w:eastAsia="仿宋_GB2312" w:cs="仿宋_GB2312"/>
          <w:color w:val="000000"/>
          <w:kern w:val="0"/>
          <w:sz w:val="32"/>
          <w:szCs w:val="32"/>
          <w:u w:val="none"/>
        </w:rPr>
        <w:t>，</w:t>
      </w:r>
      <w:r>
        <w:rPr>
          <w:rFonts w:hint="eastAsia" w:ascii="Times New Roman" w:hAnsi="Times New Roman" w:eastAsia="仿宋_GB2312" w:cs="仿宋_GB2312"/>
          <w:bCs/>
          <w:sz w:val="32"/>
          <w:szCs w:val="32"/>
          <w:u w:val="none"/>
        </w:rPr>
        <w:t>依据</w:t>
      </w:r>
      <w:r>
        <w:rPr>
          <w:rFonts w:hint="eastAsia" w:ascii="仿宋_GB2312" w:eastAsia="仿宋_GB2312" w:cs="仿宋_GB2312"/>
          <w:color w:val="000000"/>
          <w:kern w:val="1"/>
          <w:sz w:val="32"/>
          <w:szCs w:val="32"/>
          <w:u w:val="none"/>
        </w:rPr>
        <w:t>《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r>
        <w:rPr>
          <w:rFonts w:hint="eastAsia" w:ascii="Times New Roman" w:hAnsi="Times New Roman" w:eastAsia="仿宋_GB2312" w:cs="仿宋_GB2312"/>
          <w:color w:val="000000"/>
          <w:kern w:val="0"/>
          <w:sz w:val="32"/>
          <w:szCs w:val="32"/>
          <w:u w:val="none"/>
        </w:rPr>
        <w:t>的规定进行处罚</w:t>
      </w:r>
      <w:r>
        <w:rPr>
          <w:rFonts w:ascii="Times New Roman" w:hAnsi="Times New Roman" w:eastAsia="仿宋_GB2312" w:cs="仿宋_GB2312"/>
          <w:color w:val="000000"/>
          <w:kern w:val="0"/>
          <w:sz w:val="32"/>
          <w:szCs w:val="32"/>
          <w:u w:val="none"/>
        </w:rPr>
        <w:t>。</w:t>
      </w:r>
    </w:p>
    <w:p>
      <w:pPr>
        <w:tabs>
          <w:tab w:val="left" w:pos="9060"/>
        </w:tabs>
        <w:autoSpaceDE w:val="0"/>
        <w:autoSpaceDN w:val="0"/>
        <w:adjustRightInd w:val="0"/>
        <w:spacing w:line="360" w:lineRule="auto"/>
        <w:ind w:firstLine="640" w:firstLineChars="200"/>
        <w:jc w:val="lef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综上，当事人上述行为违了</w:t>
      </w:r>
      <w:r>
        <w:rPr>
          <w:rFonts w:hint="eastAsia" w:ascii="仿宋_GB2312" w:eastAsia="仿宋_GB2312" w:cs="仿宋_GB2312"/>
          <w:color w:val="000000"/>
          <w:kern w:val="1"/>
          <w:sz w:val="32"/>
          <w:szCs w:val="32"/>
          <w:u w:val="none"/>
        </w:rPr>
        <w:t>《中华人民共和国产品质量法》第十三条第二款</w:t>
      </w:r>
      <w:r>
        <w:rPr>
          <w:rFonts w:hint="eastAsia" w:ascii="Times New Roman" w:hAnsi="Times New Roman" w:eastAsia="仿宋_GB2312" w:cs="仿宋_GB2312"/>
          <w:color w:val="000000"/>
          <w:kern w:val="0"/>
          <w:sz w:val="32"/>
          <w:szCs w:val="32"/>
          <w:u w:val="none"/>
        </w:rPr>
        <w:t>的规定，</w:t>
      </w:r>
      <w:r>
        <w:rPr>
          <w:rFonts w:ascii="Times New Roman" w:hAnsi="Times New Roman" w:eastAsia="仿宋_GB2312" w:cs="仿宋_GB2312"/>
          <w:color w:val="000000"/>
          <w:kern w:val="0"/>
          <w:sz w:val="32"/>
          <w:szCs w:val="32"/>
          <w:u w:val="none"/>
        </w:rPr>
        <w:t>依据</w:t>
      </w:r>
      <w:r>
        <w:rPr>
          <w:rFonts w:hint="eastAsia" w:ascii="仿宋_GB2312" w:eastAsia="仿宋_GB2312" w:cs="仿宋_GB2312"/>
          <w:color w:val="000000"/>
          <w:kern w:val="1"/>
          <w:sz w:val="32"/>
          <w:szCs w:val="32"/>
          <w:u w:val="none"/>
        </w:rPr>
        <w:t>《中华人民共和国产品质量法》第四十九条</w:t>
      </w:r>
      <w:r>
        <w:rPr>
          <w:rFonts w:hint="eastAsia" w:ascii="Times New Roman" w:hAnsi="Times New Roman" w:eastAsia="仿宋_GB2312" w:cs="Mongolian Baiti"/>
          <w:kern w:val="1"/>
          <w:sz w:val="32"/>
          <w:szCs w:val="32"/>
          <w:u w:val="none"/>
        </w:rPr>
        <w:t>的</w:t>
      </w:r>
      <w:r>
        <w:rPr>
          <w:rFonts w:ascii="Times New Roman" w:hAnsi="Times New Roman" w:eastAsia="仿宋_GB2312" w:cs="Mongolian Baiti"/>
          <w:kern w:val="1"/>
          <w:sz w:val="32"/>
          <w:szCs w:val="32"/>
          <w:u w:val="none"/>
        </w:rPr>
        <w:t>规定</w:t>
      </w:r>
      <w:r>
        <w:rPr>
          <w:rFonts w:hint="eastAsia" w:ascii="Times New Roman" w:hAnsi="Times New Roman" w:eastAsia="仿宋_GB2312" w:cs="Mongolian Baiti"/>
          <w:kern w:val="1"/>
          <w:sz w:val="32"/>
          <w:szCs w:val="32"/>
          <w:u w:val="none"/>
        </w:rPr>
        <w:t>，现责令当事人改正上述违法行为，并决定处罚如下：</w:t>
      </w:r>
    </w:p>
    <w:p>
      <w:pPr>
        <w:numPr>
          <w:ilvl w:val="0"/>
          <w:numId w:val="0"/>
        </w:numPr>
        <w:tabs>
          <w:tab w:val="left" w:pos="9060"/>
        </w:tabs>
        <w:autoSpaceDE w:val="0"/>
        <w:autoSpaceDN w:val="0"/>
        <w:adjustRightInd w:val="0"/>
        <w:spacing w:line="360" w:lineRule="auto"/>
        <w:jc w:val="left"/>
        <w:rPr>
          <w:rFonts w:hint="eastAsia" w:ascii="Times New Roman" w:hAnsi="Times New Roman" w:eastAsia="仿宋_GB2312" w:cs="仿宋_GB2312"/>
          <w:color w:val="000000"/>
          <w:kern w:val="0"/>
          <w:sz w:val="32"/>
          <w:szCs w:val="32"/>
          <w:u w:val="none"/>
        </w:rPr>
      </w:pPr>
      <w:r>
        <w:rPr>
          <w:rFonts w:hint="eastAsia" w:ascii="Times New Roman" w:hAnsi="Times New Roman" w:eastAsia="仿宋_GB2312" w:cs="仿宋_GB2312"/>
          <w:color w:val="000000"/>
          <w:kern w:val="0"/>
          <w:sz w:val="32"/>
          <w:szCs w:val="32"/>
          <w:u w:val="none"/>
          <w:lang w:val="en-US" w:eastAsia="zh-CN"/>
        </w:rPr>
        <w:t xml:space="preserve">    1.</w:t>
      </w:r>
      <w:r>
        <w:rPr>
          <w:rFonts w:hint="eastAsia" w:ascii="Times New Roman" w:hAnsi="Times New Roman" w:eastAsia="仿宋_GB2312" w:cs="仿宋_GB2312"/>
          <w:color w:val="000000"/>
          <w:kern w:val="0"/>
          <w:sz w:val="32"/>
          <w:szCs w:val="32"/>
          <w:u w:val="none"/>
          <w:lang w:eastAsia="zh-CN"/>
        </w:rPr>
        <w:t>罚款</w:t>
      </w:r>
      <w:r>
        <w:rPr>
          <w:rFonts w:hint="eastAsia" w:ascii="Times New Roman" w:hAnsi="Times New Roman" w:eastAsia="仿宋_GB2312" w:cs="仿宋_GB2312"/>
          <w:sz w:val="32"/>
          <w:szCs w:val="32"/>
          <w:u w:val="none"/>
          <w:lang w:val="en-US" w:eastAsia="zh-CN"/>
        </w:rPr>
        <w:t>103224元</w:t>
      </w:r>
      <w:r>
        <w:rPr>
          <w:rFonts w:hint="eastAsia" w:ascii="Times New Roman" w:hAnsi="Times New Roman" w:eastAsia="仿宋_GB2312" w:cs="仿宋_GB2312"/>
          <w:color w:val="000000"/>
          <w:kern w:val="0"/>
          <w:sz w:val="32"/>
          <w:szCs w:val="32"/>
          <w:u w:val="none"/>
        </w:rPr>
        <w:t>；</w:t>
      </w:r>
    </w:p>
    <w:p>
      <w:pPr>
        <w:numPr>
          <w:ilvl w:val="0"/>
          <w:numId w:val="0"/>
        </w:numPr>
        <w:tabs>
          <w:tab w:val="left" w:pos="9060"/>
        </w:tabs>
        <w:autoSpaceDE w:val="0"/>
        <w:autoSpaceDN w:val="0"/>
        <w:adjustRightInd w:val="0"/>
        <w:spacing w:line="360" w:lineRule="auto"/>
        <w:jc w:val="left"/>
        <w:rPr>
          <w:rFonts w:ascii="Times New Roman" w:hAnsi="Times New Roman" w:eastAsia="仿宋_GB2312" w:cs="仿宋_GB2312"/>
          <w:color w:val="000000"/>
          <w:kern w:val="0"/>
          <w:sz w:val="32"/>
          <w:szCs w:val="32"/>
          <w:u w:val="none"/>
        </w:rPr>
      </w:pPr>
      <w:r>
        <w:rPr>
          <w:rFonts w:hint="eastAsia" w:ascii="Times New Roman" w:hAnsi="Times New Roman" w:eastAsia="仿宋_GB2312" w:cs="仿宋_GB2312"/>
          <w:color w:val="000000"/>
          <w:kern w:val="0"/>
          <w:sz w:val="32"/>
          <w:szCs w:val="32"/>
          <w:u w:val="none"/>
          <w:lang w:val="en-US" w:eastAsia="zh-CN"/>
        </w:rPr>
        <w:t xml:space="preserve">    </w:t>
      </w:r>
      <w:r>
        <w:rPr>
          <w:rFonts w:hint="eastAsia" w:ascii="Times New Roman" w:hAnsi="Times New Roman" w:eastAsia="仿宋_GB2312" w:cs="仿宋_GB2312"/>
          <w:color w:val="000000"/>
          <w:kern w:val="0"/>
          <w:sz w:val="32"/>
          <w:szCs w:val="32"/>
          <w:u w:val="none"/>
        </w:rPr>
        <w:t>2.</w:t>
      </w:r>
      <w:r>
        <w:rPr>
          <w:rFonts w:hint="eastAsia" w:ascii="Times New Roman" w:hAnsi="Times New Roman" w:eastAsia="仿宋_GB2312" w:cs="仿宋_GB2312"/>
          <w:bCs/>
          <w:sz w:val="32"/>
          <w:szCs w:val="32"/>
          <w:u w:val="none"/>
          <w:lang w:val="en-US" w:eastAsia="zh-CN"/>
        </w:rPr>
        <w:t>没收</w:t>
      </w:r>
      <w:r>
        <w:rPr>
          <w:rFonts w:hint="eastAsia" w:ascii="Times New Roman" w:hAnsi="Times New Roman" w:eastAsia="仿宋_GB2312" w:cs="仿宋_GB2312"/>
          <w:sz w:val="32"/>
          <w:szCs w:val="32"/>
          <w:u w:val="none"/>
          <w:lang w:eastAsia="zh-CN"/>
        </w:rPr>
        <w:t>违法所得</w:t>
      </w:r>
      <w:r>
        <w:rPr>
          <w:rFonts w:hint="eastAsia" w:ascii="Times New Roman" w:hAnsi="Times New Roman" w:eastAsia="仿宋_GB2312" w:cs="仿宋_GB2312"/>
          <w:sz w:val="32"/>
          <w:szCs w:val="32"/>
          <w:u w:val="none"/>
          <w:lang w:val="en-US" w:eastAsia="zh-CN"/>
        </w:rPr>
        <w:t>1210.99元</w:t>
      </w:r>
      <w:r>
        <w:rPr>
          <w:rFonts w:hint="eastAsia" w:ascii="Times New Roman" w:hAnsi="Times New Roman" w:eastAsia="仿宋_GB2312" w:cs="仿宋_GB2312"/>
          <w:color w:val="000000"/>
          <w:kern w:val="0"/>
          <w:sz w:val="32"/>
          <w:szCs w:val="32"/>
          <w:u w:val="none"/>
        </w:rPr>
        <w:t xml:space="preserve">。                       </w:t>
      </w:r>
    </w:p>
    <w:p>
      <w:pPr>
        <w:tabs>
          <w:tab w:val="left" w:pos="9060"/>
        </w:tabs>
        <w:autoSpaceDE w:val="0"/>
        <w:autoSpaceDN w:val="0"/>
        <w:adjustRightInd w:val="0"/>
        <w:spacing w:line="360" w:lineRule="auto"/>
        <w:jc w:val="left"/>
        <w:rPr>
          <w:rFonts w:ascii="Times New Roman" w:hAnsi="Times New Roman" w:eastAsia="仿宋_GB2312" w:cs="仿宋_GB2312"/>
          <w:color w:val="000000"/>
          <w:kern w:val="0"/>
          <w:sz w:val="32"/>
          <w:szCs w:val="32"/>
          <w:u w:val="none"/>
        </w:rPr>
      </w:pPr>
      <w:r>
        <w:rPr>
          <w:rFonts w:hint="eastAsia" w:ascii="Times New Roman" w:hAnsi="Times New Roman" w:eastAsia="仿宋_GB2312" w:cs="仿宋_GB2312"/>
          <w:color w:val="000000"/>
          <w:kern w:val="0"/>
          <w:sz w:val="32"/>
          <w:szCs w:val="32"/>
          <w:u w:val="none"/>
        </w:rPr>
        <w:t xml:space="preserve">   </w:t>
      </w:r>
      <w:r>
        <w:rPr>
          <w:rFonts w:hint="eastAsia" w:ascii="Times New Roman" w:hAnsi="Times New Roman" w:eastAsia="仿宋_GB2312" w:cs="Mongolian Baiti"/>
          <w:kern w:val="1"/>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的规定，每日按罚款数额的百分之三加处罚款，并将依法申请人民法院强制执行。 </w:t>
      </w:r>
    </w:p>
    <w:p>
      <w:pPr>
        <w:tabs>
          <w:tab w:val="left" w:pos="9060"/>
        </w:tabs>
        <w:autoSpaceDE w:val="0"/>
        <w:autoSpaceDN w:val="0"/>
        <w:adjustRightInd w:val="0"/>
        <w:spacing w:line="360" w:lineRule="auto"/>
        <w:ind w:firstLine="640" w:firstLineChars="200"/>
        <w:jc w:val="lef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如对本行政处罚决定不服，可以于收到本决定书之日起六十日内依法向天津市北辰区人民政府申请行政复议，也可以于六个月内依法向天津市北辰区人民法院提起行政诉讼。</w:t>
      </w:r>
    </w:p>
    <w:p>
      <w:pPr>
        <w:tabs>
          <w:tab w:val="left" w:pos="9060"/>
        </w:tabs>
        <w:autoSpaceDE w:val="0"/>
        <w:autoSpaceDN w:val="0"/>
        <w:adjustRightInd w:val="0"/>
        <w:spacing w:line="520" w:lineRule="exact"/>
        <w:ind w:firstLine="640" w:firstLineChars="200"/>
        <w:jc w:val="lef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  </w:t>
      </w:r>
    </w:p>
    <w:p>
      <w:pPr>
        <w:tabs>
          <w:tab w:val="left" w:pos="9060"/>
        </w:tabs>
        <w:autoSpaceDE w:val="0"/>
        <w:autoSpaceDN w:val="0"/>
        <w:adjustRightInd w:val="0"/>
        <w:spacing w:line="520" w:lineRule="exact"/>
        <w:jc w:val="left"/>
        <w:rPr>
          <w:rFonts w:hint="eastAsia" w:ascii="Times New Roman" w:hAnsi="Times New Roman" w:eastAsia="仿宋_GB2312" w:cs="Mongolian Baiti"/>
          <w:kern w:val="1"/>
          <w:sz w:val="32"/>
          <w:szCs w:val="32"/>
          <w:u w:val="none"/>
          <w:lang w:eastAsia="zh-CN"/>
        </w:rPr>
      </w:pPr>
    </w:p>
    <w:p>
      <w:pPr>
        <w:tabs>
          <w:tab w:val="left" w:pos="9060"/>
        </w:tabs>
        <w:autoSpaceDE w:val="0"/>
        <w:autoSpaceDN w:val="0"/>
        <w:adjustRightInd w:val="0"/>
        <w:spacing w:line="520" w:lineRule="exact"/>
        <w:jc w:val="left"/>
        <w:rPr>
          <w:rFonts w:hint="eastAsia" w:ascii="Times New Roman" w:hAnsi="Times New Roman" w:eastAsia="仿宋_GB2312" w:cs="Mongolian Baiti"/>
          <w:kern w:val="1"/>
          <w:sz w:val="32"/>
          <w:szCs w:val="32"/>
          <w:u w:val="none"/>
          <w:lang w:eastAsia="zh-CN"/>
        </w:rPr>
      </w:pPr>
    </w:p>
    <w:p>
      <w:pPr>
        <w:tabs>
          <w:tab w:val="left" w:pos="9060"/>
        </w:tabs>
        <w:autoSpaceDE w:val="0"/>
        <w:autoSpaceDN w:val="0"/>
        <w:adjustRightInd w:val="0"/>
        <w:spacing w:line="520" w:lineRule="exact"/>
        <w:jc w:val="left"/>
        <w:rPr>
          <w:rFonts w:hint="eastAsia" w:ascii="Times New Roman" w:hAnsi="Times New Roman" w:eastAsia="仿宋_GB2312" w:cs="Mongolian Baiti"/>
          <w:kern w:val="1"/>
          <w:sz w:val="32"/>
          <w:szCs w:val="32"/>
          <w:u w:val="none"/>
          <w:lang w:eastAsia="zh-CN"/>
        </w:rPr>
      </w:pPr>
    </w:p>
    <w:p>
      <w:pPr>
        <w:tabs>
          <w:tab w:val="left" w:pos="9060"/>
        </w:tabs>
        <w:autoSpaceDE w:val="0"/>
        <w:autoSpaceDN w:val="0"/>
        <w:adjustRightInd w:val="0"/>
        <w:spacing w:line="520" w:lineRule="exact"/>
        <w:jc w:val="left"/>
        <w:rPr>
          <w:rFonts w:hint="eastAsia" w:ascii="Times New Roman" w:hAnsi="Times New Roman" w:eastAsia="仿宋_GB2312" w:cs="Mongolian Baiti"/>
          <w:kern w:val="1"/>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60" w:lineRule="exact"/>
        <w:ind w:right="1280" w:firstLine="600"/>
        <w:jc w:val="center"/>
        <w:rPr>
          <w:rFonts w:hint="eastAsia"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bookmarkStart w:id="3" w:name="_GoBack"/>
      <w:bookmarkEnd w:id="3"/>
      <w:r>
        <w:rPr>
          <w:rFonts w:hint="eastAsia" w:ascii="仿宋_GB2312" w:hAnsi="Times New Roman" w:eastAsia="仿宋_GB2312" w:cs="仿宋"/>
          <w:color w:val="000000"/>
          <w:sz w:val="32"/>
          <w:szCs w:val="32"/>
          <w:u w:val="none"/>
        </w:rPr>
        <w:t>202</w:t>
      </w:r>
      <w:r>
        <w:rPr>
          <w:rFonts w:hint="eastAsia" w:ascii="仿宋_GB2312" w:hAnsi="Times New Roman" w:eastAsia="仿宋_GB2312" w:cs="仿宋"/>
          <w:color w:val="000000"/>
          <w:sz w:val="32"/>
          <w:szCs w:val="32"/>
          <w:u w:val="none"/>
          <w:lang w:val="en-US" w:eastAsia="zh-CN"/>
        </w:rPr>
        <w:t>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10</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31</w:t>
      </w:r>
      <w:r>
        <w:rPr>
          <w:rFonts w:hint="eastAsia" w:ascii="仿宋_GB2312" w:hAnsi="Times New Roman" w:eastAsia="仿宋_GB2312" w:cs="仿宋"/>
          <w:color w:val="000000"/>
          <w:sz w:val="32"/>
          <w:szCs w:val="32"/>
          <w:u w:val="none"/>
        </w:rPr>
        <w:t>日</w:t>
      </w:r>
    </w:p>
    <w:p>
      <w:pPr>
        <w:spacing w:line="560" w:lineRule="exact"/>
        <w:ind w:right="1280" w:firstLine="600"/>
        <w:jc w:val="center"/>
        <w:rPr>
          <w:rFonts w:hint="eastAsia" w:ascii="仿宋_GB2312" w:hAnsi="Times New Roman" w:eastAsia="仿宋_GB2312" w:cs="仿宋"/>
          <w:color w:val="000000"/>
          <w:sz w:val="32"/>
          <w:szCs w:val="32"/>
          <w:u w:val="none"/>
        </w:rPr>
      </w:pPr>
    </w:p>
    <w:p>
      <w:pPr>
        <w:spacing w:line="560" w:lineRule="exact"/>
        <w:ind w:right="1280" w:firstLine="600"/>
        <w:jc w:val="right"/>
        <w:rPr>
          <w:rFonts w:hint="eastAsia" w:ascii="仿宋_GB2312" w:hAnsi="Times New Roman" w:eastAsia="仿宋_GB2312" w:cs="仿宋"/>
          <w:color w:val="000000"/>
          <w:sz w:val="32"/>
          <w:szCs w:val="32"/>
          <w:u w:val="none"/>
        </w:rPr>
      </w:pPr>
    </w:p>
    <w:p>
      <w:pPr>
        <w:spacing w:line="500" w:lineRule="exact"/>
        <w:rPr>
          <w:rFonts w:ascii="Times New Roman" w:hAnsi="Times New Roman" w:eastAsia="仿宋_GB2312" w:cs="Mongolian Baiti"/>
          <w:bCs/>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6"/>
    <w:rsid w:val="000C1491"/>
    <w:rsid w:val="00104585"/>
    <w:rsid w:val="00132F44"/>
    <w:rsid w:val="001369A3"/>
    <w:rsid w:val="0017068B"/>
    <w:rsid w:val="001B56E8"/>
    <w:rsid w:val="001D7BDF"/>
    <w:rsid w:val="00205CCA"/>
    <w:rsid w:val="00261E78"/>
    <w:rsid w:val="00284624"/>
    <w:rsid w:val="00341CD1"/>
    <w:rsid w:val="00373669"/>
    <w:rsid w:val="003C71E1"/>
    <w:rsid w:val="00546D28"/>
    <w:rsid w:val="00566B8D"/>
    <w:rsid w:val="005B3082"/>
    <w:rsid w:val="00635254"/>
    <w:rsid w:val="00694FF8"/>
    <w:rsid w:val="007012A1"/>
    <w:rsid w:val="00717E86"/>
    <w:rsid w:val="007B0267"/>
    <w:rsid w:val="00826617"/>
    <w:rsid w:val="00827ABB"/>
    <w:rsid w:val="00846990"/>
    <w:rsid w:val="00877AF4"/>
    <w:rsid w:val="008A0ED0"/>
    <w:rsid w:val="008E760A"/>
    <w:rsid w:val="00916515"/>
    <w:rsid w:val="0096025B"/>
    <w:rsid w:val="00982018"/>
    <w:rsid w:val="00A01C06"/>
    <w:rsid w:val="00AE568C"/>
    <w:rsid w:val="00C07C18"/>
    <w:rsid w:val="00D26F3E"/>
    <w:rsid w:val="00D42A26"/>
    <w:rsid w:val="00D74126"/>
    <w:rsid w:val="00D8627B"/>
    <w:rsid w:val="00DA036B"/>
    <w:rsid w:val="00DA0C97"/>
    <w:rsid w:val="00E26C66"/>
    <w:rsid w:val="00E458AC"/>
    <w:rsid w:val="00EC47A3"/>
    <w:rsid w:val="00EC5692"/>
    <w:rsid w:val="00F47779"/>
    <w:rsid w:val="00F67EFA"/>
    <w:rsid w:val="00F74192"/>
    <w:rsid w:val="00F82478"/>
    <w:rsid w:val="00FC38C1"/>
    <w:rsid w:val="00FD4550"/>
    <w:rsid w:val="106B7D7B"/>
    <w:rsid w:val="170F60EC"/>
    <w:rsid w:val="2D2445D7"/>
    <w:rsid w:val="32D44116"/>
    <w:rsid w:val="336605F6"/>
    <w:rsid w:val="37B280F0"/>
    <w:rsid w:val="435F25C5"/>
    <w:rsid w:val="4FFBC54C"/>
    <w:rsid w:val="57D5CF1E"/>
    <w:rsid w:val="7B392B99"/>
    <w:rsid w:val="7FFE8469"/>
    <w:rsid w:val="7FFF7EE2"/>
    <w:rsid w:val="EE671F46"/>
    <w:rsid w:val="EEF681B8"/>
    <w:rsid w:val="FBF79080"/>
    <w:rsid w:val="FFF41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249</Words>
  <Characters>1422</Characters>
  <Lines>11</Lines>
  <Paragraphs>3</Paragraphs>
  <TotalTime>17</TotalTime>
  <ScaleCrop>false</ScaleCrop>
  <LinksUpToDate>false</LinksUpToDate>
  <CharactersWithSpaces>1668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2019-04-26T09:45:00Z</dcterms:created>
  <dc:creator>李栋</dc:creator>
  <cp:lastModifiedBy>admin</cp:lastModifiedBy>
  <cp:lastPrinted>2021-09-26T09:09:00Z</cp:lastPrinted>
  <dcterms:modified xsi:type="dcterms:W3CDTF">2022-11-02T15:46:52Z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