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2023</w:t>
      </w:r>
      <w:r>
        <w:rPr>
          <w:rFonts w:hint="eastAsia" w:ascii="Times New Roman"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kern w:val="1"/>
          <w:sz w:val="32"/>
          <w:szCs w:val="32"/>
          <w:u w:val="none"/>
        </w:rPr>
        <w:t>湖际阀门制造（天津）有限公司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kern w:val="1"/>
          <w:sz w:val="32"/>
          <w:szCs w:val="32"/>
          <w:u w:val="none"/>
        </w:rPr>
        <w:t>91120113MA0715RK8X</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仿宋_GB2312" w:eastAsia="仿宋_GB2312" w:cs="仿宋_GB2312"/>
          <w:sz w:val="32"/>
          <w:szCs w:val="32"/>
          <w:u w:val="none"/>
        </w:rPr>
        <w:t xml:space="preserve">天津市北辰区西堤头镇东堤头村富民商贸厂房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仿宋"/>
          <w:sz w:val="32"/>
          <w:szCs w:val="32"/>
          <w:u w:val="none"/>
          <w:lang w:eastAsia="zh-CN"/>
        </w:rPr>
        <w:t>郑孔靖</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ind w:firstLine="640"/>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2023年12月28日，我局接到天津市市场监督管理委员会寄来的产品质量监督抽查检验报告（ZB-2022-FJD-060），报告</w:t>
      </w:r>
      <w:r>
        <w:rPr>
          <w:rFonts w:hint="eastAsia" w:ascii="仿宋_GB2312" w:hAnsi="仿宋_GB2312" w:eastAsia="仿宋_GB2312" w:cs="仿宋_GB2312"/>
          <w:bCs/>
          <w:sz w:val="32"/>
          <w:szCs w:val="32"/>
          <w:u w:val="none"/>
        </w:rPr>
        <w:t>显示</w:t>
      </w:r>
      <w:r>
        <w:rPr>
          <w:rFonts w:hint="eastAsia" w:ascii="Times New Roman" w:hAnsi="Times New Roman" w:eastAsia="仿宋_GB2312" w:cs="仿宋_GB2312"/>
          <w:sz w:val="32"/>
          <w:szCs w:val="32"/>
          <w:u w:val="none"/>
          <w:lang w:eastAsia="zh-CN"/>
        </w:rPr>
        <w:t>湖际阀门制造（天津）有限公司</w:t>
      </w:r>
      <w:r>
        <w:rPr>
          <w:rFonts w:hint="eastAsia" w:ascii="仿宋_GB2312" w:hAnsi="仿宋_GB2312" w:eastAsia="仿宋_GB2312" w:cs="仿宋_GB2312"/>
          <w:bCs/>
          <w:sz w:val="32"/>
          <w:szCs w:val="32"/>
          <w:u w:val="none"/>
        </w:rPr>
        <w:t>生产的阀门（规格型号</w:t>
      </w:r>
      <w:r>
        <w:rPr>
          <w:rFonts w:hint="eastAsia" w:ascii="Times New Roman" w:hAnsi="Times New Roman" w:eastAsia="仿宋_GB2312" w:cs="仿宋_GB2312"/>
          <w:sz w:val="32"/>
          <w:szCs w:val="32"/>
          <w:u w:val="none"/>
          <w:lang w:eastAsia="zh-CN"/>
        </w:rPr>
        <w:t>为</w:t>
      </w:r>
      <w:r>
        <w:rPr>
          <w:rFonts w:hint="eastAsia" w:ascii="仿宋_GB2312" w:hAnsi="仿宋_GB2312" w:eastAsia="仿宋_GB2312" w:cs="仿宋_GB2312"/>
          <w:sz w:val="32"/>
          <w:szCs w:val="32"/>
          <w:u w:val="none"/>
          <w:lang w:val="en-US" w:eastAsia="zh-CN"/>
        </w:rPr>
        <w:t>DN100 D71X-16Q、生产日期为2022年10月</w:t>
      </w:r>
      <w:r>
        <w:rPr>
          <w:rFonts w:hint="eastAsia" w:ascii="仿宋_GB2312" w:hAnsi="仿宋_GB2312" w:eastAsia="仿宋_GB2312" w:cs="仿宋_GB2312"/>
          <w:bCs/>
          <w:sz w:val="32"/>
          <w:szCs w:val="32"/>
          <w:u w:val="none"/>
        </w:rPr>
        <w:t>）经天津市津南区产品质量监督检验所检测，所检项目中阀体壁厚测量不符合</w:t>
      </w:r>
      <w:r>
        <w:rPr>
          <w:rFonts w:hint="eastAsia" w:ascii="仿宋_GB2312" w:hAnsi="仿宋_GB2312" w:eastAsia="仿宋_GB2312" w:cs="仿宋_GB2312"/>
          <w:bCs/>
          <w:sz w:val="32"/>
          <w:szCs w:val="32"/>
          <w:u w:val="none"/>
          <w:lang w:val="en-US" w:eastAsia="zh-CN"/>
        </w:rPr>
        <w:t>GB26640-2011</w:t>
      </w:r>
      <w:r>
        <w:rPr>
          <w:rFonts w:hint="eastAsia" w:ascii="仿宋_GB2312" w:hAnsi="仿宋_GB2312" w:eastAsia="仿宋_GB2312" w:cs="仿宋_GB2312"/>
          <w:bCs/>
          <w:sz w:val="32"/>
          <w:szCs w:val="32"/>
          <w:u w:val="none"/>
        </w:rPr>
        <w:t>《阀门壳体最小壁厚尺寸要求规范》标准中规定的要求，判定为不合格</w:t>
      </w:r>
      <w:r>
        <w:rPr>
          <w:rFonts w:hint="eastAsia" w:ascii="仿宋_GB2312" w:hAnsi="仿宋_GB2312" w:eastAsia="仿宋_GB2312" w:cs="仿宋_GB2312"/>
          <w:bCs/>
          <w:sz w:val="32"/>
          <w:szCs w:val="32"/>
          <w:u w:val="none"/>
          <w:lang w:val="en-US" w:eastAsia="zh-CN"/>
        </w:rPr>
        <w:t>。我局执法人员于2023年1月4日对当事人进行执法检查，当事人确认该批次抽检不合格产品为当事人生产，并对检验报告结果无异议。现场未发现上述批次不合格产品。当事人因涉嫌生产销售不符合保障人体健康和人身财产安全的国家标准的阀门的行为，2023年1月4日经批准予以立案。</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经查，</w:t>
      </w:r>
      <w:r>
        <w:rPr>
          <w:rFonts w:hint="eastAsia" w:ascii="仿宋_GB2312" w:hAnsi="仿宋_GB2312" w:eastAsia="仿宋_GB2312" w:cs="仿宋_GB2312"/>
          <w:bCs/>
          <w:sz w:val="32"/>
          <w:szCs w:val="32"/>
          <w:u w:val="none"/>
        </w:rPr>
        <w:t>生产的阀门（规格型号</w:t>
      </w:r>
      <w:r>
        <w:rPr>
          <w:rFonts w:hint="eastAsia" w:ascii="Times New Roman" w:hAnsi="Times New Roman" w:eastAsia="仿宋_GB2312" w:cs="仿宋_GB2312"/>
          <w:sz w:val="32"/>
          <w:szCs w:val="32"/>
          <w:u w:val="none"/>
          <w:lang w:eastAsia="zh-CN"/>
        </w:rPr>
        <w:t>为</w:t>
      </w:r>
      <w:r>
        <w:rPr>
          <w:rFonts w:hint="eastAsia" w:ascii="仿宋_GB2312" w:hAnsi="仿宋_GB2312" w:eastAsia="仿宋_GB2312" w:cs="仿宋_GB2312"/>
          <w:sz w:val="32"/>
          <w:szCs w:val="32"/>
          <w:u w:val="none"/>
          <w:lang w:val="en-US" w:eastAsia="zh-CN"/>
        </w:rPr>
        <w:t>DN100 D71X-16Q、生产日期为2022年10月</w:t>
      </w:r>
      <w:r>
        <w:rPr>
          <w:rFonts w:hint="eastAsia" w:ascii="仿宋_GB2312" w:hAnsi="仿宋_GB2312" w:eastAsia="仿宋_GB2312" w:cs="仿宋_GB2312"/>
          <w:bCs/>
          <w:sz w:val="32"/>
          <w:szCs w:val="32"/>
          <w:u w:val="none"/>
        </w:rPr>
        <w:t>）经天津市津南区产品质量监督检验所检测，所检项目中阀体壁厚测量不符合</w:t>
      </w:r>
      <w:r>
        <w:rPr>
          <w:rFonts w:hint="eastAsia" w:ascii="仿宋_GB2312" w:hAnsi="仿宋_GB2312" w:eastAsia="仿宋_GB2312" w:cs="仿宋_GB2312"/>
          <w:bCs/>
          <w:sz w:val="32"/>
          <w:szCs w:val="32"/>
          <w:u w:val="none"/>
          <w:lang w:val="en-US" w:eastAsia="zh-CN"/>
        </w:rPr>
        <w:t>GB26640-2011</w:t>
      </w:r>
      <w:r>
        <w:rPr>
          <w:rFonts w:hint="eastAsia" w:ascii="仿宋_GB2312" w:hAnsi="仿宋_GB2312" w:eastAsia="仿宋_GB2312" w:cs="仿宋_GB2312"/>
          <w:bCs/>
          <w:sz w:val="32"/>
          <w:szCs w:val="32"/>
          <w:u w:val="none"/>
        </w:rPr>
        <w:t>《阀门壳体最小壁厚尺寸要求规范》标准中规定的要求，判定为不合格</w:t>
      </w:r>
      <w:r>
        <w:rPr>
          <w:rFonts w:hint="eastAsia" w:ascii="仿宋_GB2312" w:hAnsi="仿宋_GB2312" w:eastAsia="仿宋_GB2312" w:cs="仿宋_GB2312"/>
          <w:sz w:val="32"/>
          <w:szCs w:val="32"/>
          <w:u w:val="none"/>
        </w:rPr>
        <w:t>。当事人对上述检验结果无异议，在复检期内未提出复检申请。上述行为满足生产销售不符合保障人体健康和人身财产安全的国家标准的</w:t>
      </w:r>
      <w:r>
        <w:rPr>
          <w:rFonts w:hint="eastAsia" w:ascii="仿宋_GB2312" w:hAnsi="仿宋_GB2312" w:eastAsia="仿宋_GB2312" w:cs="仿宋_GB2312"/>
          <w:sz w:val="32"/>
          <w:szCs w:val="32"/>
          <w:u w:val="none"/>
          <w:lang w:eastAsia="zh-CN"/>
        </w:rPr>
        <w:t>阀门的</w:t>
      </w:r>
      <w:r>
        <w:rPr>
          <w:rFonts w:hint="eastAsia" w:ascii="仿宋_GB2312" w:hAnsi="仿宋_GB2312" w:eastAsia="仿宋_GB2312" w:cs="仿宋_GB2312"/>
          <w:sz w:val="32"/>
          <w:szCs w:val="32"/>
          <w:u w:val="none"/>
        </w:rPr>
        <w:t>构成要件。当事人共生产</w:t>
      </w:r>
      <w:r>
        <w:rPr>
          <w:rFonts w:hint="eastAsia" w:ascii="仿宋_GB2312" w:hAnsi="仿宋_GB2312" w:eastAsia="仿宋_GB2312" w:cs="仿宋_GB2312"/>
          <w:bCs/>
          <w:sz w:val="32"/>
          <w:szCs w:val="32"/>
          <w:u w:val="none"/>
        </w:rPr>
        <w:t>规格型号</w:t>
      </w:r>
      <w:r>
        <w:rPr>
          <w:rFonts w:hint="eastAsia" w:ascii="Times New Roman" w:hAnsi="Times New Roman" w:eastAsia="仿宋_GB2312" w:cs="仿宋_GB2312"/>
          <w:sz w:val="32"/>
          <w:szCs w:val="32"/>
          <w:u w:val="none"/>
          <w:lang w:eastAsia="zh-CN"/>
        </w:rPr>
        <w:t>为</w:t>
      </w:r>
      <w:r>
        <w:rPr>
          <w:rFonts w:hint="eastAsia" w:ascii="仿宋_GB2312" w:hAnsi="仿宋_GB2312" w:eastAsia="仿宋_GB2312" w:cs="仿宋_GB2312"/>
          <w:sz w:val="32"/>
          <w:szCs w:val="32"/>
          <w:u w:val="none"/>
          <w:lang w:val="en-US" w:eastAsia="zh-CN"/>
        </w:rPr>
        <w:t>DN100 D71X-16Q、生产日期为2022年10月</w:t>
      </w:r>
      <w:r>
        <w:rPr>
          <w:rFonts w:hint="eastAsia" w:ascii="仿宋_GB2312" w:hAnsi="仿宋_GB2312" w:eastAsia="仿宋_GB2312" w:cs="仿宋_GB2312"/>
          <w:sz w:val="32"/>
          <w:szCs w:val="32"/>
          <w:u w:val="none"/>
          <w:lang w:eastAsia="zh-CN"/>
        </w:rPr>
        <w:t>的阀门</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只，销售</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只，上述产品均已召回拆解。货值金额19</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0元，违法所得</w:t>
      </w:r>
      <w:r>
        <w:rPr>
          <w:rFonts w:hint="eastAsia" w:ascii="仿宋_GB2312" w:hAnsi="仿宋_GB2312" w:eastAsia="仿宋_GB2312" w:cs="仿宋_GB2312"/>
          <w:sz w:val="32"/>
          <w:szCs w:val="32"/>
          <w:u w:val="none"/>
          <w:lang w:val="en-US" w:eastAsia="zh-CN"/>
        </w:rPr>
        <w:t>7.5</w:t>
      </w:r>
      <w:r>
        <w:rPr>
          <w:rFonts w:hint="eastAsia" w:ascii="仿宋_GB2312" w:hAnsi="仿宋_GB2312" w:eastAsia="仿宋_GB2312" w:cs="仿宋_GB2312"/>
          <w:sz w:val="32"/>
          <w:szCs w:val="32"/>
          <w:u w:val="none"/>
        </w:rPr>
        <w:t>元。</w:t>
      </w:r>
    </w:p>
    <w:p>
      <w:pPr>
        <w:pStyle w:val="2"/>
        <w:tabs>
          <w:tab w:val="left" w:pos="8285"/>
        </w:tabs>
        <w:spacing w:line="520" w:lineRule="exact"/>
        <w:ind w:firstLine="640" w:firstLineChars="200"/>
        <w:rPr>
          <w:rFonts w:hint="eastAsia" w:ascii="Times New Roman" w:eastAsia="仿宋_GB2312" w:cs="Mongolian Baiti"/>
          <w:kern w:val="1"/>
          <w:u w:val="none"/>
        </w:rPr>
      </w:pPr>
      <w:r>
        <w:rPr>
          <w:rFonts w:hint="eastAsia" w:ascii="Times New Roman" w:eastAsia="仿宋_GB2312" w:cs="Mongolian Baiti"/>
          <w:kern w:val="1"/>
          <w:u w:val="none"/>
        </w:rPr>
        <w:t>上述事实，主要有以下证据证明：</w:t>
      </w:r>
    </w:p>
    <w:p>
      <w:pPr>
        <w:spacing w:line="480" w:lineRule="exact"/>
        <w:ind w:firstLine="640" w:firstLineChars="200"/>
        <w:rPr>
          <w:rFonts w:ascii="Times New Roman" w:hAnsi="Times New Roman" w:eastAsia="仿宋_GB2312" w:cs="仿宋_GB2312"/>
          <w:sz w:val="32"/>
          <w:szCs w:val="32"/>
          <w:u w:val="none"/>
        </w:rPr>
      </w:pPr>
      <w:r>
        <w:rPr>
          <w:rFonts w:hint="eastAsia" w:ascii="仿宋_GB2312" w:hAnsi="仿宋_GB2312" w:eastAsia="仿宋_GB2312" w:cs="仿宋_GB2312"/>
          <w:bCs/>
          <w:sz w:val="32"/>
          <w:szCs w:val="32"/>
          <w:u w:val="none"/>
          <w:lang w:val="en-US" w:eastAsia="zh-CN"/>
        </w:rPr>
        <w:t>1.</w:t>
      </w:r>
      <w:r>
        <w:rPr>
          <w:rFonts w:hint="eastAsia" w:ascii="Times New Roman" w:hAnsi="Times New Roman" w:eastAsia="仿宋_GB2312" w:cs="仿宋_GB2312"/>
          <w:sz w:val="32"/>
          <w:szCs w:val="32"/>
          <w:u w:val="none"/>
        </w:rPr>
        <w:t>当事人的营业执照复印件、法定代表人身份证复印件，公司主体</w:t>
      </w:r>
      <w:r>
        <w:rPr>
          <w:rFonts w:ascii="Times New Roman" w:hAnsi="Times New Roman" w:eastAsia="仿宋_GB2312" w:cs="仿宋_GB2312"/>
          <w:sz w:val="32"/>
          <w:szCs w:val="32"/>
          <w:u w:val="none"/>
        </w:rPr>
        <w:t>和抽检</w:t>
      </w:r>
      <w:r>
        <w:rPr>
          <w:rFonts w:hint="eastAsia" w:ascii="Times New Roman" w:hAnsi="Times New Roman" w:eastAsia="仿宋_GB2312" w:cs="仿宋_GB2312"/>
          <w:sz w:val="32"/>
          <w:szCs w:val="32"/>
          <w:u w:val="none"/>
        </w:rPr>
        <w:t xml:space="preserve">主体情况说明证明当事人的主体资格；            </w:t>
      </w:r>
      <w:r>
        <w:rPr>
          <w:rFonts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rPr>
        <w:t xml:space="preserve">  </w:t>
      </w:r>
    </w:p>
    <w:p>
      <w:pPr>
        <w:spacing w:line="480" w:lineRule="exact"/>
        <w:ind w:firstLine="640" w:firstLineChars="200"/>
        <w:rPr>
          <w:rFonts w:ascii="Times New Roman" w:hAnsi="Times New Roman" w:eastAsia="仿宋_GB2312" w:cs="仿宋_GB2312"/>
          <w:sz w:val="32"/>
          <w:szCs w:val="32"/>
          <w:u w:val="none"/>
        </w:rPr>
      </w:pPr>
      <w:r>
        <w:rPr>
          <w:rFonts w:hint="eastAsia" w:ascii="仿宋_GB2312" w:hAnsi="仿宋_GB2312" w:eastAsia="仿宋_GB2312" w:cs="仿宋_GB2312"/>
          <w:bCs/>
          <w:sz w:val="32"/>
          <w:szCs w:val="32"/>
          <w:u w:val="none"/>
          <w:lang w:val="en-US" w:eastAsia="zh-CN"/>
        </w:rPr>
        <w:t>2.</w:t>
      </w:r>
      <w:r>
        <w:rPr>
          <w:rFonts w:hint="eastAsia" w:ascii="Times New Roman" w:hAnsi="Times New Roman" w:eastAsia="仿宋_GB2312" w:cs="仿宋_GB2312"/>
          <w:sz w:val="32"/>
          <w:szCs w:val="32"/>
          <w:u w:val="none"/>
        </w:rPr>
        <w:t>产品</w:t>
      </w:r>
      <w:r>
        <w:rPr>
          <w:rFonts w:ascii="Times New Roman" w:hAnsi="Times New Roman" w:eastAsia="仿宋_GB2312" w:cs="仿宋_GB2312"/>
          <w:sz w:val="32"/>
          <w:szCs w:val="32"/>
          <w:u w:val="none"/>
        </w:rPr>
        <w:t>质量委托抽查抽样单</w:t>
      </w:r>
      <w:r>
        <w:rPr>
          <w:rFonts w:hint="eastAsia" w:ascii="Times New Roman" w:hAnsi="Times New Roman" w:eastAsia="仿宋_GB2312" w:cs="仿宋_GB2312"/>
          <w:sz w:val="32"/>
          <w:szCs w:val="32"/>
          <w:u w:val="none"/>
        </w:rPr>
        <w:t>，《检验报告》（</w:t>
      </w:r>
      <w:r>
        <w:rPr>
          <w:rFonts w:hint="eastAsia" w:ascii="仿宋_GB2312" w:hAnsi="仿宋_GB2312" w:eastAsia="仿宋_GB2312" w:cs="仿宋_GB2312"/>
          <w:bCs/>
          <w:sz w:val="32"/>
          <w:szCs w:val="32"/>
          <w:u w:val="none"/>
          <w:lang w:val="en-US" w:eastAsia="zh-CN"/>
        </w:rPr>
        <w:t>No:2022-JN-FJD-060</w:t>
      </w:r>
      <w:r>
        <w:rPr>
          <w:rFonts w:hint="eastAsia" w:ascii="Times New Roman" w:hAnsi="Times New Roman" w:eastAsia="仿宋_GB2312" w:cs="仿宋_GB2312"/>
          <w:sz w:val="32"/>
          <w:szCs w:val="32"/>
          <w:u w:val="none"/>
        </w:rPr>
        <w:t xml:space="preserve">），证明当事人生产的阀门被判定为不合格产品；                             </w:t>
      </w:r>
      <w:r>
        <w:rPr>
          <w:rFonts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rPr>
        <w:t xml:space="preserve">      </w:t>
      </w:r>
    </w:p>
    <w:p>
      <w:pPr>
        <w:spacing w:line="480" w:lineRule="exact"/>
        <w:ind w:firstLine="640" w:firstLineChars="200"/>
        <w:rPr>
          <w:rFonts w:ascii="Times New Roman" w:hAnsi="Times New Roman" w:eastAsia="仿宋_GB2312" w:cs="仿宋_GB2312"/>
          <w:sz w:val="32"/>
          <w:szCs w:val="32"/>
          <w:u w:val="none"/>
        </w:rPr>
      </w:pPr>
      <w:r>
        <w:rPr>
          <w:rFonts w:hint="eastAsia" w:ascii="仿宋_GB2312" w:hAnsi="仿宋_GB2312" w:eastAsia="仿宋_GB2312" w:cs="仿宋_GB2312"/>
          <w:bCs/>
          <w:sz w:val="32"/>
          <w:szCs w:val="32"/>
          <w:u w:val="none"/>
          <w:lang w:val="en-US" w:eastAsia="zh-CN"/>
        </w:rPr>
        <w:t>3.</w:t>
      </w:r>
      <w:r>
        <w:rPr>
          <w:rFonts w:hint="eastAsia" w:ascii="Times New Roman" w:hAnsi="Times New Roman" w:eastAsia="仿宋_GB2312" w:cs="仿宋_GB2312"/>
          <w:sz w:val="32"/>
          <w:szCs w:val="32"/>
          <w:u w:val="none"/>
        </w:rPr>
        <w:t xml:space="preserve"> 产品生产</w:t>
      </w:r>
      <w:r>
        <w:rPr>
          <w:rFonts w:hint="eastAsia" w:ascii="仿宋_GB2312" w:hAnsi="仿宋_GB2312" w:eastAsia="仿宋_GB2312" w:cs="仿宋_GB2312"/>
          <w:sz w:val="32"/>
          <w:szCs w:val="32"/>
          <w:u w:val="none"/>
        </w:rPr>
        <w:t>执行标准</w:t>
      </w:r>
      <w:r>
        <w:rPr>
          <w:rFonts w:hint="eastAsia" w:ascii="仿宋_GB2312" w:hAnsi="仿宋_GB2312" w:eastAsia="仿宋_GB2312" w:cs="仿宋_GB2312"/>
          <w:bCs/>
          <w:sz w:val="32"/>
          <w:szCs w:val="32"/>
          <w:u w:val="none"/>
          <w:lang w:val="en-US" w:eastAsia="zh-CN"/>
        </w:rPr>
        <w:t>GB26640-2011《</w:t>
      </w:r>
      <w:r>
        <w:rPr>
          <w:rFonts w:hint="eastAsia" w:ascii="仿宋_GB2312" w:hAnsi="仿宋_GB2312" w:eastAsia="仿宋_GB2312" w:cs="仿宋_GB2312"/>
          <w:sz w:val="32"/>
          <w:szCs w:val="32"/>
          <w:u w:val="none"/>
        </w:rPr>
        <w:t>阀门壳体最小壁厚尺寸要求规范》文本的首页、标准前言、标准关键项目指标要求打印件，证明当事人涉案产品适</w:t>
      </w:r>
      <w:r>
        <w:rPr>
          <w:rFonts w:hint="eastAsia" w:ascii="Times New Roman" w:hAnsi="Times New Roman" w:eastAsia="仿宋_GB2312" w:cs="仿宋_GB2312"/>
          <w:sz w:val="32"/>
          <w:szCs w:val="32"/>
          <w:u w:val="none"/>
        </w:rPr>
        <w:t xml:space="preserve">用的判定依据是国家颁布的现行有效的标准, 所查产品与标准调整的产品范围一致且当事人涉案产品执行标准关键项目指标要求涉及到人体健康和人身财产安全；                                          </w:t>
      </w:r>
    </w:p>
    <w:p>
      <w:pPr>
        <w:spacing w:line="480" w:lineRule="exact"/>
        <w:ind w:firstLine="640" w:firstLineChars="200"/>
        <w:rPr>
          <w:rFonts w:ascii="Times New Roman" w:hAnsi="Times New Roman" w:eastAsia="仿宋_GB2312" w:cs="仿宋_GB2312"/>
          <w:sz w:val="32"/>
          <w:szCs w:val="32"/>
          <w:u w:val="none"/>
        </w:rPr>
      </w:pPr>
      <w:r>
        <w:rPr>
          <w:rFonts w:hint="eastAsia" w:ascii="仿宋_GB2312" w:hAnsi="仿宋_GB2312" w:eastAsia="仿宋_GB2312" w:cs="仿宋_GB2312"/>
          <w:bCs/>
          <w:sz w:val="32"/>
          <w:szCs w:val="32"/>
          <w:u w:val="none"/>
          <w:lang w:val="en-US" w:eastAsia="zh-CN"/>
        </w:rPr>
        <w:t xml:space="preserve">4. </w:t>
      </w:r>
      <w:r>
        <w:rPr>
          <w:rFonts w:hint="eastAsia" w:ascii="Times New Roman" w:hAnsi="Times New Roman" w:eastAsia="仿宋_GB2312" w:cs="仿宋_GB2312"/>
          <w:sz w:val="32"/>
          <w:szCs w:val="32"/>
          <w:u w:val="none"/>
        </w:rPr>
        <w:t>对</w:t>
      </w:r>
      <w:r>
        <w:rPr>
          <w:rFonts w:hint="eastAsia" w:ascii="Times New Roman" w:hAnsi="Times New Roman" w:eastAsia="仿宋_GB2312" w:cs="仿宋_GB2312"/>
          <w:sz w:val="32"/>
          <w:szCs w:val="32"/>
          <w:u w:val="none"/>
          <w:lang w:eastAsia="zh-CN"/>
        </w:rPr>
        <w:t>当事人的委托人王亚丽</w:t>
      </w:r>
      <w:r>
        <w:rPr>
          <w:rFonts w:hint="eastAsia" w:ascii="Times New Roman" w:hAnsi="Times New Roman" w:eastAsia="仿宋_GB2312" w:cs="仿宋_GB2312"/>
          <w:sz w:val="32"/>
          <w:szCs w:val="32"/>
          <w:u w:val="none"/>
        </w:rPr>
        <w:t>的</w:t>
      </w:r>
      <w:r>
        <w:rPr>
          <w:rFonts w:hint="eastAsia" w:ascii="Times New Roman" w:hAnsi="Times New Roman" w:eastAsia="仿宋_GB2312" w:cs="仿宋_GB2312"/>
          <w:sz w:val="32"/>
          <w:szCs w:val="32"/>
          <w:u w:val="none"/>
          <w:lang w:eastAsia="zh-CN"/>
        </w:rPr>
        <w:t>授权委托书、身份证复印件、</w:t>
      </w:r>
      <w:r>
        <w:rPr>
          <w:rFonts w:hint="eastAsia" w:ascii="Times New Roman" w:hAnsi="Times New Roman" w:eastAsia="仿宋_GB2312" w:cs="仿宋_GB2312"/>
          <w:sz w:val="32"/>
          <w:szCs w:val="32"/>
          <w:u w:val="none"/>
        </w:rPr>
        <w:t xml:space="preserve">询问笔录，证明当事人生产销售不符合保障人体健康和人身、财产安全的国家标准的阀门的事实情节；   </w:t>
      </w:r>
      <w:r>
        <w:rPr>
          <w:rFonts w:ascii="Times New Roman" w:hAnsi="Times New Roman" w:eastAsia="仿宋_GB2312" w:cs="仿宋_GB2312"/>
          <w:sz w:val="32"/>
          <w:szCs w:val="32"/>
          <w:u w:val="none"/>
        </w:rPr>
        <w:t xml:space="preserve">                                                  </w:t>
      </w:r>
    </w:p>
    <w:p>
      <w:pPr>
        <w:pStyle w:val="2"/>
        <w:tabs>
          <w:tab w:val="left" w:pos="8285"/>
        </w:tabs>
        <w:spacing w:line="520" w:lineRule="exact"/>
        <w:ind w:firstLine="640" w:firstLineChars="200"/>
        <w:rPr>
          <w:rFonts w:hint="eastAsia" w:ascii="仿宋_GB2312" w:hAnsi="仿宋_GB2312" w:eastAsia="仿宋_GB2312" w:cs="仿宋_GB2312"/>
          <w:color w:val="231F20"/>
          <w:u w:val="none"/>
          <w:lang w:val="en-US" w:eastAsia="zh-CN"/>
        </w:rPr>
      </w:pPr>
      <w:r>
        <w:rPr>
          <w:rFonts w:hint="eastAsia" w:ascii="仿宋_GB2312" w:hAnsi="仿宋_GB2312" w:eastAsia="仿宋_GB2312" w:cs="仿宋_GB2312"/>
          <w:bCs/>
          <w:sz w:val="32"/>
          <w:szCs w:val="32"/>
          <w:u w:val="none"/>
          <w:lang w:val="en-US" w:eastAsia="zh-CN"/>
        </w:rPr>
        <w:t>5.</w:t>
      </w:r>
      <w:r>
        <w:rPr>
          <w:rFonts w:hint="eastAsia" w:ascii="Times New Roman" w:hAnsi="Times New Roman" w:eastAsia="仿宋_GB2312" w:cs="仿宋_GB2312"/>
          <w:sz w:val="32"/>
          <w:szCs w:val="32"/>
          <w:u w:val="none"/>
        </w:rPr>
        <w:t>现场</w:t>
      </w:r>
      <w:r>
        <w:rPr>
          <w:rFonts w:ascii="Times New Roman" w:hAnsi="Times New Roman" w:eastAsia="仿宋_GB2312" w:cs="仿宋_GB2312"/>
          <w:sz w:val="32"/>
          <w:szCs w:val="32"/>
          <w:u w:val="none"/>
        </w:rPr>
        <w:t>笔录</w:t>
      </w:r>
      <w:r>
        <w:rPr>
          <w:rFonts w:hint="eastAsia" w:ascii="Times New Roman" w:hAnsi="Times New Roman" w:eastAsia="仿宋_GB2312" w:cs="仿宋_GB2312"/>
          <w:sz w:val="32"/>
          <w:szCs w:val="32"/>
          <w:u w:val="none"/>
        </w:rPr>
        <w:t>、生产计划</w:t>
      </w:r>
      <w:r>
        <w:rPr>
          <w:rFonts w:hint="eastAsia" w:ascii="Times New Roman" w:hAnsi="Times New Roman" w:eastAsia="仿宋_GB2312" w:cs="仿宋_GB2312"/>
          <w:sz w:val="32"/>
          <w:szCs w:val="32"/>
          <w:u w:val="none"/>
          <w:lang w:eastAsia="zh-CN"/>
        </w:rPr>
        <w:t>统计表</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rPr>
        <w:t>成本核算</w:t>
      </w:r>
      <w:r>
        <w:rPr>
          <w:rFonts w:hint="eastAsia" w:ascii="Times New Roman" w:hAnsi="Times New Roman" w:eastAsia="仿宋_GB2312" w:cs="仿宋_GB2312"/>
          <w:sz w:val="32"/>
          <w:szCs w:val="32"/>
          <w:u w:val="none"/>
          <w:lang w:eastAsia="zh-CN"/>
        </w:rPr>
        <w:t>表</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rPr>
        <w:t>货值金额和违法所得计算表</w:t>
      </w:r>
      <w:r>
        <w:rPr>
          <w:rFonts w:hint="eastAsia" w:ascii="Times New Roman" w:hAnsi="Times New Roman" w:eastAsia="仿宋_GB2312" w:cs="仿宋_GB2312"/>
          <w:sz w:val="32"/>
          <w:szCs w:val="32"/>
          <w:u w:val="none"/>
          <w:lang w:eastAsia="zh-CN"/>
        </w:rPr>
        <w:t>。发票复印件</w:t>
      </w:r>
      <w:r>
        <w:rPr>
          <w:rFonts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rPr>
        <w:t>当事人涉案产品数量、货值金额与违法所得</w:t>
      </w:r>
      <w:r>
        <w:rPr>
          <w:rFonts w:hint="eastAsia" w:ascii="Times New Roman" w:hAnsi="Times New Roman" w:eastAsia="仿宋_GB2312" w:cs="仿宋_GB2312"/>
          <w:sz w:val="32"/>
          <w:szCs w:val="32"/>
          <w:u w:val="none"/>
          <w:lang w:eastAsia="zh-CN"/>
        </w:rPr>
        <w:t>。</w:t>
      </w:r>
      <w:r>
        <w:rPr>
          <w:rFonts w:hint="eastAsia" w:ascii="仿宋_GB2312" w:hAnsi="仿宋_GB2312" w:eastAsia="仿宋_GB2312" w:cs="仿宋_GB2312"/>
          <w:kern w:val="1"/>
          <w:u w:val="none"/>
        </w:rPr>
        <w:t xml:space="preserve">                      </w:t>
      </w:r>
      <w:r>
        <w:rPr>
          <w:rFonts w:hint="eastAsia" w:ascii="仿宋_GB2312" w:hAnsi="仿宋_GB2312" w:eastAsia="仿宋_GB2312" w:cs="仿宋_GB2312"/>
          <w:kern w:val="1"/>
          <w:u w:val="none"/>
          <w:lang w:val="en-US" w:eastAsia="zh-CN"/>
        </w:rPr>
        <w:t xml:space="preserve"> </w:t>
      </w:r>
    </w:p>
    <w:p>
      <w:pPr>
        <w:pStyle w:val="2"/>
        <w:tabs>
          <w:tab w:val="left" w:pos="8405"/>
        </w:tabs>
        <w:spacing w:line="520" w:lineRule="exact"/>
        <w:ind w:firstLine="627" w:firstLineChars="196"/>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日依法向当事人送达了《行政处罚听证告知书》（津辰市监罚告〔202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号），当事人未提出陈述、申辩意见，且未申请听证。</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综上，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eastAsia="仿宋_GB2312" w:cs="Mongolian Baiti"/>
          <w:kern w:val="1"/>
          <w:u w:val="none"/>
          <w:lang w:eastAsia="zh-CN"/>
        </w:rPr>
        <w:t>，</w:t>
      </w: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w:t>
      </w:r>
      <w:r>
        <w:rPr>
          <w:rFonts w:hint="eastAsia" w:ascii="仿宋_GB2312" w:hAnsi="仿宋_GB2312" w:eastAsia="仿宋_GB2312" w:cs="仿宋_GB2312"/>
          <w:bCs/>
          <w:sz w:val="32"/>
          <w:szCs w:val="32"/>
          <w:u w:val="none"/>
        </w:rPr>
        <w:t>的，吊销营业执照；构成犯罪的，依法追究刑事责任。”的规定，责令当事人停止生产销售不符合保障人体健康和人身财产安全的电动自行车车灯行为，并对当事人给予以下行政处罚：1．罚款19</w:t>
      </w: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rPr>
        <w:t>0元；2．没收违法所得</w:t>
      </w:r>
      <w:r>
        <w:rPr>
          <w:rFonts w:hint="eastAsia" w:ascii="仿宋_GB2312" w:hAnsi="仿宋_GB2312" w:eastAsia="仿宋_GB2312" w:cs="仿宋_GB2312"/>
          <w:bCs/>
          <w:sz w:val="32"/>
          <w:szCs w:val="32"/>
          <w:u w:val="none"/>
          <w:lang w:val="en-US" w:eastAsia="zh-CN"/>
        </w:rPr>
        <w:t>7.5</w:t>
      </w:r>
      <w:r>
        <w:rPr>
          <w:rFonts w:hint="eastAsia" w:ascii="仿宋_GB2312" w:hAnsi="仿宋_GB2312" w:eastAsia="仿宋_GB2312" w:cs="仿宋_GB2312"/>
          <w:bCs/>
          <w:sz w:val="32"/>
          <w:szCs w:val="32"/>
          <w:u w:val="none"/>
        </w:rPr>
        <w:t>元，罚没共计</w:t>
      </w:r>
      <w:r>
        <w:rPr>
          <w:rFonts w:hint="eastAsia" w:ascii="仿宋_GB2312" w:hAnsi="仿宋_GB2312" w:eastAsia="仿宋_GB2312" w:cs="仿宋_GB2312"/>
          <w:bCs/>
          <w:sz w:val="32"/>
          <w:szCs w:val="32"/>
          <w:u w:val="none"/>
          <w:lang w:val="en-US" w:eastAsia="zh-CN"/>
        </w:rPr>
        <w:t>1927.5</w:t>
      </w:r>
      <w:r>
        <w:rPr>
          <w:rFonts w:hint="eastAsia" w:ascii="仿宋_GB2312" w:hAnsi="仿宋_GB2312" w:eastAsia="仿宋_GB2312" w:cs="仿宋_GB2312"/>
          <w:bCs/>
          <w:sz w:val="32"/>
          <w:szCs w:val="32"/>
          <w:u w:val="none"/>
        </w:rPr>
        <w:t>元。</w:t>
      </w:r>
      <w:r>
        <w:rPr>
          <w:rFonts w:hint="eastAsia" w:ascii="仿宋_GB2312" w:hAnsi="仿宋_GB2312" w:eastAsia="仿宋_GB2312" w:cs="仿宋_GB2312"/>
          <w:sz w:val="32"/>
          <w:szCs w:val="32"/>
          <w:u w:val="none"/>
        </w:rPr>
        <w:t xml:space="preserve">     </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lang w:val="en-US" w:eastAsia="zh-CN"/>
        </w:rPr>
        <w:t xml:space="preserve">       </w:t>
      </w: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280" w:firstLine="60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 xml:space="preserve"> 2023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16</w:t>
      </w:r>
      <w:r>
        <w:rPr>
          <w:rFonts w:hint="eastAsia" w:ascii="仿宋_GB2312" w:hAnsi="Times New Roman" w:eastAsia="仿宋_GB2312" w:cs="仿宋"/>
          <w:color w:val="000000"/>
          <w:sz w:val="32"/>
          <w:szCs w:val="32"/>
          <w:u w:val="none"/>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both"/>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157B90E1"/>
    <w:rsid w:val="1BFF5E18"/>
    <w:rsid w:val="36DEB100"/>
    <w:rsid w:val="3F7E65AA"/>
    <w:rsid w:val="4EFD9F05"/>
    <w:rsid w:val="6DF5C5A1"/>
    <w:rsid w:val="6FFF2E79"/>
    <w:rsid w:val="73777E45"/>
    <w:rsid w:val="74EFF815"/>
    <w:rsid w:val="76FF5AC1"/>
    <w:rsid w:val="7DE47D3E"/>
    <w:rsid w:val="7EFF6F37"/>
    <w:rsid w:val="7F9F2643"/>
    <w:rsid w:val="AF3F1916"/>
    <w:rsid w:val="CDD93110"/>
    <w:rsid w:val="DBFBF0ED"/>
    <w:rsid w:val="DEC7157A"/>
    <w:rsid w:val="F7FC8078"/>
    <w:rsid w:val="F9BF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1</TotalTime>
  <ScaleCrop>false</ScaleCrop>
  <LinksUpToDate>false</LinksUpToDate>
  <CharactersWithSpaces>1705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2021-07-31T11:11:00Z</dcterms:created>
  <dc:creator>王子琦</dc:creator>
  <cp:lastModifiedBy>admin</cp:lastModifiedBy>
  <cp:lastPrinted>2022-04-28T10:48:00Z</cp:lastPrinted>
  <dcterms:modified xsi:type="dcterms:W3CDTF">2023-01-29T16:50:14Z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