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2023</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46</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eastAsia="zh-CN"/>
        </w:rPr>
        <w:t>天津北辰区精诚口腔诊所</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lang w:eastAsia="zh-CN"/>
        </w:rPr>
        <w:t xml:space="preserve">91120113MA06DBND66 </w:t>
      </w:r>
      <w:r>
        <w:rPr>
          <w:rFonts w:hint="eastAsia" w:ascii="Times New Roman" w:hAnsi="Times New Roman" w:eastAsia="仿宋_GB2312" w:cs="Mongolian Baiti"/>
          <w:kern w:val="1"/>
          <w:sz w:val="32"/>
          <w:szCs w:val="32"/>
          <w:u w:val="none"/>
        </w:rPr>
        <w:t xml:space="preserve">                                 </w:t>
      </w:r>
    </w:p>
    <w:p>
      <w:pPr>
        <w:adjustRightInd w:val="0"/>
        <w:snapToGrid w:val="0"/>
        <w:spacing w:line="560" w:lineRule="exact"/>
        <w:jc w:val="left"/>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eastAsia="zh-CN"/>
        </w:rPr>
        <w:t>天津市北辰区小淀镇云鼎花园增1-10</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lang w:eastAsia="zh-CN"/>
        </w:rPr>
        <w:t>罗胜</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w:t>
      </w:r>
      <w:r>
        <w:rPr>
          <w:rFonts w:hint="eastAsia" w:ascii="Times New Roman" w:hAnsi="Times New Roman" w:eastAsia="仿宋_GB2312" w:cs="Mongolian Baiti"/>
          <w:kern w:val="1"/>
          <w:sz w:val="32"/>
          <w:szCs w:val="32"/>
          <w:u w:val="none"/>
          <w:lang w:eastAsia="zh-CN"/>
        </w:rPr>
        <w:t>件</w:t>
      </w:r>
      <w:r>
        <w:rPr>
          <w:rFonts w:hint="eastAsia" w:ascii="Times New Roman" w:hAnsi="Times New Roman" w:eastAsia="仿宋_GB2312" w:cs="Mongolian Baiti"/>
          <w:kern w:val="1"/>
          <w:sz w:val="32"/>
          <w:szCs w:val="32"/>
          <w:u w:val="none"/>
        </w:rPr>
        <w:t>号码：</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60" w:lineRule="exact"/>
        <w:ind w:firstLine="640" w:firstLineChars="200"/>
        <w:rPr>
          <w:rFonts w:hint="eastAsia" w:ascii="仿宋_GB2312" w:eastAsia="仿宋_GB2312" w:cs="仿宋_GB2312"/>
          <w:kern w:val="1"/>
          <w:sz w:val="32"/>
          <w:szCs w:val="32"/>
          <w:u w:val="none"/>
          <w:lang w:val="en-US" w:eastAsia="zh-CN"/>
        </w:rPr>
      </w:pP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2023年2月3日，我局执法人员到当事人经营场所进行检查，在其诊所内发现数处医疗广告无《医疗广告审查证明》，当事人涉嫌未经审查发布广告（医疗广告）。同日，经局领导批准，执法人员对当事人上述行为立案调查。执法人员采取现场检查、拍照、询问有关人员等方式，对案件进行了全面的调查。</w:t>
      </w:r>
    </w:p>
    <w:p>
      <w:pPr>
        <w:spacing w:line="560" w:lineRule="exact"/>
        <w:ind w:firstLine="640" w:firstLineChars="200"/>
        <w:outlineLvl w:val="9"/>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经查明，自2022年10月份起，当事人开始在其诊所内设置医疗广告。当事人设置医疗广告，未取得《医疗广告审查证明》。广告费用无法计算。当事人上述行为满足未经审查发布广告（医疗广告）违法行为的构成要件。</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上述事实，主要有以下证据证明：1、当事人营业执照复印件、法定代表人罗胜的身份证复印件，证明当事人主体资格；2、2023年2月3日的现场检查笔录、现场检查照片、录像 ，证明当事人涉嫌未经审查发布广告（医疗广告）的现场情况；3、对法定代表人罗胜制作的《询问笔录》，证明当事人涉嫌未经审查发布广告（医疗广告）的事实情节;4、复查现场笔录，证明当事人积极改正违法行为。</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w:t>
      </w:r>
      <w:r>
        <w:rPr>
          <w:rFonts w:hint="eastAsia" w:ascii="仿宋_GB2312" w:eastAsia="仿宋_GB2312" w:cs="仿宋_GB2312"/>
          <w:kern w:val="1"/>
          <w:sz w:val="32"/>
          <w:szCs w:val="32"/>
          <w:u w:val="none"/>
          <w:lang w:eastAsia="zh-CN"/>
        </w:rPr>
        <w:t>2023年2月3日</w:t>
      </w:r>
      <w:r>
        <w:rPr>
          <w:rFonts w:hint="eastAsia" w:ascii="仿宋_GB2312" w:eastAsia="仿宋_GB2312" w:cs="仿宋_GB2312"/>
          <w:kern w:val="1"/>
          <w:sz w:val="32"/>
          <w:szCs w:val="32"/>
          <w:u w:val="none"/>
        </w:rPr>
        <w:t>依法向当事人送达了《行政处罚告知书》（津辰市监罚告〔</w:t>
      </w:r>
      <w:r>
        <w:rPr>
          <w:rFonts w:hint="eastAsia" w:ascii="仿宋_GB2312" w:eastAsia="仿宋_GB2312" w:cs="仿宋_GB2312"/>
          <w:kern w:val="1"/>
          <w:sz w:val="32"/>
          <w:szCs w:val="32"/>
          <w:u w:val="none"/>
          <w:lang w:eastAsia="zh-CN"/>
        </w:rPr>
        <w:t>2023</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 w:eastAsia="zh-CN"/>
        </w:rPr>
        <w:t>46</w:t>
      </w:r>
      <w:r>
        <w:rPr>
          <w:rFonts w:hint="eastAsia" w:ascii="仿宋_GB2312" w:eastAsia="仿宋_GB2312" w:cs="仿宋_GB2312"/>
          <w:kern w:val="1"/>
          <w:sz w:val="32"/>
          <w:szCs w:val="32"/>
          <w:u w:val="none"/>
        </w:rPr>
        <w:t>号），当事人未提出陈述</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申辩意见。</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rPr>
        <w:t>本局认为，</w:t>
      </w:r>
      <w:r>
        <w:rPr>
          <w:rFonts w:hint="eastAsia" w:ascii="仿宋_GB2312" w:eastAsia="仿宋_GB2312" w:cs="仿宋_GB2312"/>
          <w:kern w:val="1"/>
          <w:sz w:val="32"/>
          <w:szCs w:val="32"/>
          <w:u w:val="none"/>
          <w:lang w:eastAsia="zh-CN"/>
        </w:rPr>
        <w:t>当事人</w:t>
      </w:r>
      <w:r>
        <w:rPr>
          <w:rFonts w:hint="eastAsia" w:ascii="仿宋_GB2312" w:eastAsia="仿宋_GB2312" w:cs="仿宋_GB2312"/>
          <w:kern w:val="1"/>
          <w:sz w:val="32"/>
          <w:szCs w:val="32"/>
          <w:u w:val="none"/>
          <w:lang w:val="en-US" w:eastAsia="zh-CN"/>
        </w:rPr>
        <w:t>上述行为</w:t>
      </w:r>
      <w:r>
        <w:rPr>
          <w:rFonts w:hint="eastAsia" w:ascii="仿宋_GB2312" w:eastAsia="仿宋_GB2312" w:cs="仿宋_GB2312"/>
          <w:kern w:val="1"/>
          <w:sz w:val="32"/>
          <w:szCs w:val="32"/>
          <w:u w:val="none"/>
        </w:rPr>
        <w:t>违反了《中华人民共和国广告法》四十六条“发布医疗、药品、医疗器械、农药、兽药和保健食品广告，以及法律、行政法规规定应当进行审查的其他广告，应当在发布前由有关部门（以下称广告审查机关）对广告内容进行审查；未经审查，不得发布”的规定</w:t>
      </w:r>
      <w:r>
        <w:rPr>
          <w:rFonts w:hint="eastAsia" w:ascii="仿宋_GB2312" w:eastAsia="仿宋_GB2312" w:cs="仿宋_GB2312"/>
          <w:kern w:val="1"/>
          <w:sz w:val="32"/>
          <w:szCs w:val="32"/>
          <w:u w:val="none"/>
          <w:lang w:eastAsia="zh-CN"/>
        </w:rPr>
        <w:t>，</w:t>
      </w:r>
      <w:r>
        <w:rPr>
          <w:rFonts w:ascii="仿宋_GB2312" w:eastAsia="仿宋_GB2312" w:cs="仿宋_GB2312"/>
          <w:kern w:val="1"/>
          <w:sz w:val="32"/>
          <w:szCs w:val="32"/>
          <w:u w:val="none"/>
        </w:rPr>
        <w:t>构成了</w:t>
      </w:r>
      <w:r>
        <w:rPr>
          <w:rFonts w:hint="eastAsia" w:ascii="仿宋_GB2312" w:eastAsia="仿宋_GB2312" w:cs="仿宋_GB2312"/>
          <w:kern w:val="1"/>
          <w:sz w:val="32"/>
          <w:szCs w:val="32"/>
          <w:u w:val="none"/>
          <w:lang w:eastAsia="zh-CN"/>
        </w:rPr>
        <w:t>未经审查发布广告（医疗广告）</w:t>
      </w:r>
      <w:r>
        <w:rPr>
          <w:rFonts w:ascii="仿宋_GB2312" w:eastAsia="仿宋_GB2312" w:cs="仿宋_GB2312"/>
          <w:kern w:val="1"/>
          <w:sz w:val="32"/>
          <w:szCs w:val="32"/>
          <w:u w:val="none"/>
        </w:rPr>
        <w:t>的违法行为</w:t>
      </w:r>
      <w:r>
        <w:rPr>
          <w:rFonts w:hint="eastAsia" w:ascii="仿宋_GB2312" w:eastAsia="仿宋_GB2312" w:cs="仿宋_GB2312"/>
          <w:kern w:val="1"/>
          <w:sz w:val="32"/>
          <w:szCs w:val="32"/>
          <w:u w:val="none"/>
        </w:rPr>
        <w:t>。依据《中华人民共和国广告法》第五十八条第一款第（十四）项“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四）违反本法第四十六条规定，未经审查发布广告的”的规定，</w:t>
      </w:r>
      <w:r>
        <w:rPr>
          <w:rFonts w:hint="eastAsia" w:ascii="仿宋_GB2312" w:eastAsia="仿宋_GB2312" w:cs="仿宋_GB2312"/>
          <w:kern w:val="1"/>
          <w:sz w:val="32"/>
          <w:szCs w:val="32"/>
          <w:u w:val="none"/>
          <w:lang w:eastAsia="zh-CN"/>
        </w:rPr>
        <w:t>给予当事人行政处罚。</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lang w:eastAsia="zh-CN"/>
        </w:rPr>
        <w:t>鉴于当事人在案发后积极配合市场监管部门调查，如实陈述违法事实并主动提供证据材料，符合《市场监管总局关于规范市场监督管理行政处罚裁量权的指导意见》（国市监法〔2019〕244号）中“（七）行政处罚裁量情形。3.有下列情形之一的，可以依法从轻或者减轻行政处罚：（1）积极配合市场监管部门调查，如实陈述违法事实并主动提供证据材料的”的规定，对当事人减轻处罚。</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综上，当事人上述行为违反了《中华人民共和国广告法》第四十六条的规定，</w:t>
      </w:r>
      <w:r>
        <w:rPr>
          <w:rFonts w:hint="eastAsia" w:ascii="仿宋_GB2312" w:eastAsia="仿宋_GB2312" w:cs="仿宋_GB2312"/>
          <w:kern w:val="1"/>
          <w:sz w:val="32"/>
          <w:szCs w:val="32"/>
          <w:u w:val="none"/>
        </w:rPr>
        <w:t>依据《中华人民共和国广告法》第五十八条第一款第</w:t>
      </w:r>
      <w:r>
        <w:rPr>
          <w:rFonts w:hint="eastAsia" w:ascii="仿宋_GB2312" w:eastAsia="仿宋_GB2312" w:cs="仿宋_GB2312"/>
          <w:kern w:val="1"/>
          <w:sz w:val="32"/>
          <w:szCs w:val="32"/>
          <w:u w:val="none"/>
          <w:lang w:eastAsia="zh-CN"/>
        </w:rPr>
        <w:t>（十四）</w:t>
      </w:r>
      <w:r>
        <w:rPr>
          <w:rFonts w:hint="eastAsia" w:ascii="仿宋_GB2312" w:eastAsia="仿宋_GB2312" w:cs="仿宋_GB2312"/>
          <w:kern w:val="1"/>
          <w:sz w:val="32"/>
          <w:szCs w:val="32"/>
          <w:u w:val="none"/>
        </w:rPr>
        <w:t>项</w:t>
      </w:r>
      <w:r>
        <w:rPr>
          <w:rFonts w:hint="eastAsia" w:ascii="仿宋_GB2312" w:eastAsia="仿宋_GB2312" w:cs="仿宋_GB2312"/>
          <w:kern w:val="1"/>
          <w:sz w:val="32"/>
          <w:szCs w:val="32"/>
          <w:u w:val="none"/>
          <w:lang w:eastAsia="zh-CN"/>
        </w:rPr>
        <w:t>的规定，现责令当事人停止发布广告，在相应范围内消除影响，并给予当事人以下行政处罚：</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罚款5000元。</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60" w:lineRule="exact"/>
        <w:ind w:firstLine="640" w:firstLineChars="200"/>
        <w:rPr>
          <w:rFonts w:ascii="Times New Roman" w:hAnsi="Times New Roman" w:eastAsia="仿宋_GB2312" w:cs="仿宋"/>
          <w:bCs/>
          <w:color w:val="000000"/>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r>
        <w:rPr>
          <w:rFonts w:hint="eastAsia" w:ascii="仿宋_GB2312" w:hAnsi="Times New Roman" w:eastAsia="仿宋_GB2312" w:cs="仿宋"/>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lang w:val="en-US" w:eastAsia="zh-CN"/>
        </w:rPr>
      </w:pP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p>
    <w:p>
      <w:pPr>
        <w:spacing w:line="500" w:lineRule="exact"/>
        <w:ind w:firstLine="601"/>
        <w:jc w:val="center"/>
        <w:rPr>
          <w:rFonts w:hint="eastAsia" w:ascii="Times New Roman" w:hAnsi="Times New Roman" w:eastAsia="仿宋_GB2312" w:cs="仿宋"/>
          <w:color w:val="000000"/>
          <w:sz w:val="32"/>
          <w:szCs w:val="32"/>
          <w:u w:val="none"/>
          <w:lang w:val="en-US" w:eastAsia="zh-CN"/>
        </w:rPr>
      </w:pPr>
    </w:p>
    <w:p>
      <w:pPr>
        <w:spacing w:line="500" w:lineRule="exact"/>
        <w:ind w:firstLine="601"/>
        <w:jc w:val="center"/>
        <w:rPr>
          <w:rFonts w:hint="eastAsia" w:ascii="Times New Roman" w:hAnsi="Times New Roman" w:eastAsia="仿宋_GB2312" w:cs="仿宋"/>
          <w:color w:val="000000"/>
          <w:sz w:val="32"/>
          <w:szCs w:val="32"/>
          <w:u w:val="none"/>
          <w:lang w:val="en-US" w:eastAsia="zh-CN"/>
        </w:rPr>
      </w:pPr>
    </w:p>
    <w:p>
      <w:pPr>
        <w:spacing w:line="500" w:lineRule="exact"/>
        <w:ind w:firstLine="3360" w:firstLineChars="1050"/>
        <w:jc w:val="both"/>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天津市北辰区市场监督管理局</w:t>
      </w:r>
    </w:p>
    <w:p>
      <w:pPr>
        <w:spacing w:line="500" w:lineRule="exact"/>
        <w:ind w:right="640" w:firstLine="601"/>
        <w:jc w:val="center"/>
        <w:rPr>
          <w:rFonts w:hint="eastAsia" w:ascii="Times New Roman" w:hAnsi="Times New Roman" w:eastAsia="方正小标宋简体" w:cs="方正小标宋简体"/>
          <w:bCs/>
          <w:sz w:val="44"/>
          <w:szCs w:val="44"/>
          <w:u w:val="none"/>
        </w:rPr>
        <w:sectPr>
          <w:pgSz w:w="11906" w:h="16838"/>
          <w:pgMar w:top="1440" w:right="1559" w:bottom="1440" w:left="1559" w:header="851" w:footer="992" w:gutter="0"/>
          <w:cols w:space="425" w:num="1"/>
          <w:docGrid w:type="lines" w:linePitch="312" w:charSpace="0"/>
        </w:sectPr>
      </w:pPr>
      <w:r>
        <w:rPr>
          <w:rFonts w:hint="eastAsia" w:ascii="Times New Roman" w:hAnsi="Times New Roman" w:eastAsia="仿宋_GB2312" w:cs="仿宋"/>
          <w:color w:val="000000"/>
          <w:sz w:val="32"/>
          <w:szCs w:val="32"/>
          <w:u w:val="none"/>
        </w:rPr>
        <w:t xml:space="preserve">              </w:t>
      </w: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eastAsia="zh-CN"/>
        </w:rPr>
        <w:t>2023</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 xml:space="preserve">2月13日                                                                                                                            </w:t>
      </w:r>
    </w:p>
    <w:p>
      <w:pPr>
        <w:spacing w:line="520" w:lineRule="exact"/>
        <w:jc w:val="both"/>
        <w:rPr>
          <w:rFonts w:hint="eastAsia" w:ascii="Times New Roman" w:hAnsi="Times New Roman" w:eastAsia="仿宋_GB2312" w:cs="仿宋"/>
          <w:color w:val="000000"/>
          <w:sz w:val="32"/>
          <w:szCs w:val="32"/>
          <w:u w:val="none"/>
        </w:rPr>
      </w:pPr>
      <w:bookmarkStart w:id="0" w:name="_GoBack"/>
      <w:bookmarkEnd w:id="0"/>
    </w:p>
    <w:sectPr>
      <w:footerReference r:id="rId3" w:type="default"/>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5Njg4ZDA2Y2RiYjMzMzZmMTBhNGQ0MDZjYzY4YjQifQ=="/>
  </w:docVars>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D60C9E"/>
    <w:rsid w:val="07EC1BE7"/>
    <w:rsid w:val="1FCF6A7D"/>
    <w:rsid w:val="1FF9E709"/>
    <w:rsid w:val="31EB503B"/>
    <w:rsid w:val="37C360C1"/>
    <w:rsid w:val="3C583FED"/>
    <w:rsid w:val="47151B2E"/>
    <w:rsid w:val="56EFEEC7"/>
    <w:rsid w:val="57EF5AC0"/>
    <w:rsid w:val="5AA9E772"/>
    <w:rsid w:val="5BCBEF26"/>
    <w:rsid w:val="5E8C7D5E"/>
    <w:rsid w:val="61FDDE48"/>
    <w:rsid w:val="67B59561"/>
    <w:rsid w:val="6BFB9147"/>
    <w:rsid w:val="73E715B5"/>
    <w:rsid w:val="73F62672"/>
    <w:rsid w:val="75FEED9B"/>
    <w:rsid w:val="7977AFF1"/>
    <w:rsid w:val="7A4C6486"/>
    <w:rsid w:val="7AF7F177"/>
    <w:rsid w:val="7BF55AAB"/>
    <w:rsid w:val="7C68F158"/>
    <w:rsid w:val="7D9F9E72"/>
    <w:rsid w:val="7FBBD48D"/>
    <w:rsid w:val="7FFFDB33"/>
    <w:rsid w:val="8AFFFA8C"/>
    <w:rsid w:val="A4FFED5E"/>
    <w:rsid w:val="AF7D2D8E"/>
    <w:rsid w:val="AFFFE157"/>
    <w:rsid w:val="BA83AAFE"/>
    <w:rsid w:val="C6ED1F6C"/>
    <w:rsid w:val="D3F7AA64"/>
    <w:rsid w:val="DA2F2EC5"/>
    <w:rsid w:val="F378BD2F"/>
    <w:rsid w:val="F5BF7F76"/>
    <w:rsid w:val="F7FF3F3A"/>
    <w:rsid w:val="F8F68D8D"/>
    <w:rsid w:val="FF4782E3"/>
    <w:rsid w:val="FF6F257A"/>
    <w:rsid w:val="FF968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1785</Words>
  <Characters>1851</Characters>
  <Lines>17</Lines>
  <Paragraphs>4</Paragraphs>
  <TotalTime>37</TotalTime>
  <ScaleCrop>false</ScaleCrop>
  <LinksUpToDate>false</LinksUpToDate>
  <CharactersWithSpaces>2487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2019-09-01T00:43:00Z</dcterms:created>
  <dc:creator>邢鹏飞</dc:creator>
  <cp:lastModifiedBy>admin</cp:lastModifiedBy>
  <cp:lastPrinted>2022-08-25T00:29:00Z</cp:lastPrinted>
  <dcterms:modified xsi:type="dcterms:W3CDTF">2023-02-13T15:22:30Z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B0E929990A10474E9CB32BF67CED929E</vt:lpwstr>
  </property>
</Properties>
</file>