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93" w:rsidRPr="00863A45" w:rsidRDefault="00863A45" w:rsidP="00863A45">
      <w:pPr>
        <w:jc w:val="center"/>
        <w:rPr>
          <w:rFonts w:ascii="方正小标宋简体" w:eastAsia="方正小标宋简体"/>
          <w:bCs/>
          <w:sz w:val="44"/>
          <w:szCs w:val="44"/>
        </w:rPr>
      </w:pPr>
      <w:r w:rsidRPr="00863A45">
        <w:rPr>
          <w:rFonts w:ascii="方正小标宋简体" w:eastAsia="方正小标宋简体" w:hint="eastAsia"/>
          <w:bCs/>
          <w:sz w:val="44"/>
          <w:szCs w:val="44"/>
        </w:rPr>
        <w:t>2021年</w:t>
      </w:r>
      <w:r w:rsidR="0013525E" w:rsidRPr="00863A45">
        <w:rPr>
          <w:rFonts w:ascii="方正小标宋简体" w:eastAsia="方正小标宋简体" w:hint="eastAsia"/>
          <w:bCs/>
          <w:sz w:val="44"/>
          <w:szCs w:val="44"/>
        </w:rPr>
        <w:t>天津市北辰</w:t>
      </w:r>
      <w:r w:rsidRPr="00863A45">
        <w:rPr>
          <w:rFonts w:ascii="方正小标宋简体" w:eastAsia="方正小标宋简体" w:hint="eastAsia"/>
          <w:bCs/>
          <w:sz w:val="44"/>
          <w:szCs w:val="44"/>
        </w:rPr>
        <w:t>区</w:t>
      </w:r>
      <w:r w:rsidR="0013525E" w:rsidRPr="00863A45">
        <w:rPr>
          <w:rFonts w:ascii="方正小标宋简体" w:eastAsia="方正小标宋简体" w:hint="eastAsia"/>
          <w:bCs/>
          <w:sz w:val="44"/>
          <w:szCs w:val="44"/>
        </w:rPr>
        <w:t>儿童及婴幼儿服装产品质量监督抽查实施方案</w:t>
      </w:r>
      <w:r>
        <w:rPr>
          <w:rFonts w:ascii="方正小标宋简体" w:eastAsia="方正小标宋简体" w:hint="eastAsia"/>
          <w:bCs/>
          <w:sz w:val="44"/>
          <w:szCs w:val="44"/>
        </w:rPr>
        <w:t>及</w:t>
      </w:r>
      <w:r>
        <w:rPr>
          <w:rFonts w:ascii="方正小标宋简体" w:eastAsia="方正小标宋简体"/>
          <w:bCs/>
          <w:sz w:val="44"/>
          <w:szCs w:val="44"/>
        </w:rPr>
        <w:t>细则</w:t>
      </w:r>
    </w:p>
    <w:p w:rsidR="00FF6093" w:rsidRPr="008D1EF1" w:rsidRDefault="0013525E">
      <w:pPr>
        <w:ind w:firstLine="600"/>
        <w:rPr>
          <w:rFonts w:ascii="仿宋" w:eastAsia="仿宋" w:hAnsi="仿宋"/>
          <w:sz w:val="32"/>
          <w:szCs w:val="32"/>
        </w:rPr>
      </w:pPr>
      <w:r w:rsidRPr="008D1EF1">
        <w:rPr>
          <w:rFonts w:ascii="仿宋" w:eastAsia="仿宋" w:hAnsi="仿宋"/>
          <w:sz w:val="32"/>
          <w:szCs w:val="32"/>
        </w:rPr>
        <w:t>为加强对</w:t>
      </w:r>
      <w:r w:rsidRPr="008D1EF1">
        <w:rPr>
          <w:rFonts w:ascii="仿宋" w:eastAsia="仿宋" w:hAnsi="仿宋" w:hint="eastAsia"/>
          <w:sz w:val="32"/>
          <w:szCs w:val="32"/>
        </w:rPr>
        <w:t>北辰</w:t>
      </w:r>
      <w:r w:rsidRPr="008D1EF1">
        <w:rPr>
          <w:rFonts w:ascii="仿宋" w:eastAsia="仿宋" w:hAnsi="仿宋"/>
          <w:sz w:val="32"/>
          <w:szCs w:val="32"/>
        </w:rPr>
        <w:t>区管辖区域内</w:t>
      </w:r>
      <w:r w:rsidRPr="008D1EF1">
        <w:rPr>
          <w:rFonts w:ascii="仿宋" w:eastAsia="仿宋" w:hAnsi="仿宋" w:hint="eastAsia"/>
          <w:sz w:val="32"/>
          <w:szCs w:val="32"/>
        </w:rPr>
        <w:t>儿童及婴幼儿</w:t>
      </w:r>
      <w:r w:rsidRPr="008D1EF1">
        <w:rPr>
          <w:rFonts w:ascii="仿宋" w:eastAsia="仿宋" w:hAnsi="仿宋"/>
          <w:sz w:val="32"/>
          <w:szCs w:val="32"/>
        </w:rPr>
        <w:t>服装质量监管，有效防范和处置产品质量安全风险，维护消费者合法权益，依据《中华人民共和国产品质量法》、《产品质量监督抽查管理暂行办法》（国家市场监督管理总局令第18号）等规定，结合工作实际，制定本方案：</w:t>
      </w:r>
    </w:p>
    <w:p w:rsidR="00FF6093" w:rsidRPr="008D1EF1" w:rsidRDefault="0013525E">
      <w:pPr>
        <w:pStyle w:val="ac"/>
        <w:numPr>
          <w:ilvl w:val="0"/>
          <w:numId w:val="1"/>
        </w:numPr>
        <w:ind w:firstLineChars="0"/>
        <w:rPr>
          <w:rFonts w:ascii="仿宋" w:eastAsia="仿宋" w:hAnsi="仿宋"/>
          <w:b/>
          <w:bCs/>
          <w:sz w:val="32"/>
          <w:szCs w:val="32"/>
        </w:rPr>
      </w:pPr>
      <w:r w:rsidRPr="008D1EF1">
        <w:rPr>
          <w:rFonts w:ascii="仿宋" w:eastAsia="仿宋" w:hAnsi="仿宋"/>
          <w:b/>
          <w:bCs/>
          <w:sz w:val="32"/>
          <w:szCs w:val="32"/>
        </w:rPr>
        <w:t>抽检产品及区域</w:t>
      </w:r>
    </w:p>
    <w:p w:rsidR="00FF6093" w:rsidRPr="008D1EF1" w:rsidRDefault="0013525E">
      <w:pPr>
        <w:ind w:firstLine="600"/>
        <w:rPr>
          <w:rFonts w:ascii="仿宋" w:eastAsia="仿宋" w:hAnsi="仿宋"/>
          <w:sz w:val="32"/>
          <w:szCs w:val="32"/>
        </w:rPr>
      </w:pPr>
      <w:r w:rsidRPr="008D1EF1">
        <w:rPr>
          <w:rFonts w:ascii="仿宋" w:eastAsia="仿宋" w:hAnsi="仿宋"/>
          <w:sz w:val="32"/>
          <w:szCs w:val="32"/>
        </w:rPr>
        <w:t>抽检产品：儿童</w:t>
      </w:r>
      <w:r w:rsidRPr="008D1EF1">
        <w:rPr>
          <w:rFonts w:ascii="仿宋" w:eastAsia="仿宋" w:hAnsi="仿宋" w:hint="eastAsia"/>
          <w:sz w:val="32"/>
          <w:szCs w:val="32"/>
        </w:rPr>
        <w:t>及</w:t>
      </w:r>
      <w:r w:rsidRPr="008D1EF1">
        <w:rPr>
          <w:rFonts w:ascii="仿宋" w:eastAsia="仿宋" w:hAnsi="仿宋"/>
          <w:sz w:val="32"/>
          <w:szCs w:val="32"/>
        </w:rPr>
        <w:t>婴幼儿服装</w:t>
      </w:r>
      <w:r w:rsidRPr="008D1EF1">
        <w:rPr>
          <w:rFonts w:ascii="仿宋" w:eastAsia="仿宋" w:hAnsi="仿宋" w:hint="eastAsia"/>
          <w:sz w:val="32"/>
          <w:szCs w:val="32"/>
        </w:rPr>
        <w:t>等</w:t>
      </w:r>
      <w:r w:rsidRPr="008D1EF1">
        <w:rPr>
          <w:rFonts w:ascii="仿宋" w:eastAsia="仿宋" w:hAnsi="仿宋"/>
          <w:sz w:val="32"/>
          <w:szCs w:val="32"/>
        </w:rPr>
        <w:t>产品</w:t>
      </w:r>
      <w:r w:rsidRPr="008D1EF1">
        <w:rPr>
          <w:rFonts w:ascii="仿宋" w:eastAsia="仿宋" w:hAnsi="仿宋" w:hint="eastAsia"/>
          <w:sz w:val="32"/>
          <w:szCs w:val="32"/>
        </w:rPr>
        <w:t>。</w:t>
      </w:r>
    </w:p>
    <w:p w:rsidR="00FF6093" w:rsidRPr="008D1EF1" w:rsidRDefault="0013525E">
      <w:pPr>
        <w:ind w:firstLine="600"/>
        <w:rPr>
          <w:rFonts w:ascii="仿宋" w:eastAsia="仿宋" w:hAnsi="仿宋"/>
          <w:sz w:val="32"/>
          <w:szCs w:val="32"/>
        </w:rPr>
      </w:pPr>
      <w:r w:rsidRPr="008D1EF1">
        <w:rPr>
          <w:rFonts w:ascii="仿宋" w:eastAsia="仿宋" w:hAnsi="仿宋"/>
          <w:sz w:val="32"/>
          <w:szCs w:val="32"/>
        </w:rPr>
        <w:t>抽检区域：天津市</w:t>
      </w:r>
      <w:r w:rsidRPr="008D1EF1">
        <w:rPr>
          <w:rFonts w:ascii="仿宋" w:eastAsia="仿宋" w:hAnsi="仿宋" w:hint="eastAsia"/>
          <w:sz w:val="32"/>
          <w:szCs w:val="32"/>
        </w:rPr>
        <w:t>北辰区</w:t>
      </w:r>
      <w:r w:rsidRPr="008D1EF1">
        <w:rPr>
          <w:rFonts w:ascii="仿宋" w:eastAsia="仿宋" w:hAnsi="仿宋"/>
          <w:sz w:val="32"/>
          <w:szCs w:val="32"/>
        </w:rPr>
        <w:t>市场监督管理局（以下简称“区局”）管辖区域内生产、销售的儿童</w:t>
      </w:r>
      <w:r w:rsidRPr="008D1EF1">
        <w:rPr>
          <w:rFonts w:ascii="仿宋" w:eastAsia="仿宋" w:hAnsi="仿宋" w:hint="eastAsia"/>
          <w:sz w:val="32"/>
          <w:szCs w:val="32"/>
        </w:rPr>
        <w:t>及</w:t>
      </w:r>
      <w:r w:rsidRPr="008D1EF1">
        <w:rPr>
          <w:rFonts w:ascii="仿宋" w:eastAsia="仿宋" w:hAnsi="仿宋"/>
          <w:sz w:val="32"/>
          <w:szCs w:val="32"/>
        </w:rPr>
        <w:t>婴幼儿服装。</w:t>
      </w:r>
    </w:p>
    <w:p w:rsidR="00FF6093" w:rsidRPr="008D1EF1" w:rsidRDefault="0013525E">
      <w:pPr>
        <w:pStyle w:val="ac"/>
        <w:numPr>
          <w:ilvl w:val="0"/>
          <w:numId w:val="1"/>
        </w:numPr>
        <w:ind w:firstLineChars="0"/>
        <w:rPr>
          <w:rFonts w:ascii="仿宋" w:eastAsia="仿宋" w:hAnsi="仿宋"/>
          <w:b/>
          <w:bCs/>
          <w:sz w:val="32"/>
          <w:szCs w:val="32"/>
        </w:rPr>
      </w:pPr>
      <w:r w:rsidRPr="008D1EF1">
        <w:rPr>
          <w:rFonts w:ascii="仿宋" w:eastAsia="仿宋" w:hAnsi="仿宋"/>
          <w:b/>
          <w:color w:val="000000"/>
          <w:sz w:val="32"/>
          <w:szCs w:val="32"/>
        </w:rPr>
        <w:t>抽检批次</w:t>
      </w:r>
    </w:p>
    <w:p w:rsidR="00FF6093" w:rsidRPr="008D1EF1" w:rsidRDefault="0013525E">
      <w:pPr>
        <w:ind w:firstLine="600"/>
        <w:rPr>
          <w:rFonts w:ascii="仿宋" w:eastAsia="仿宋" w:hAnsi="仿宋"/>
          <w:sz w:val="32"/>
          <w:szCs w:val="32"/>
        </w:rPr>
      </w:pPr>
      <w:r w:rsidRPr="008D1EF1">
        <w:rPr>
          <w:rFonts w:ascii="仿宋" w:eastAsia="仿宋" w:hAnsi="仿宋"/>
          <w:sz w:val="32"/>
          <w:szCs w:val="32"/>
        </w:rPr>
        <w:t>根据工作开展情况拟计划抽查</w:t>
      </w:r>
      <w:r w:rsidRPr="008D1EF1">
        <w:rPr>
          <w:rFonts w:ascii="仿宋" w:eastAsia="仿宋" w:hAnsi="仿宋" w:hint="eastAsia"/>
          <w:sz w:val="32"/>
          <w:szCs w:val="32"/>
        </w:rPr>
        <w:t>儿童及婴幼儿服装30批次（生产领域10批次、流通领域20批次）。</w:t>
      </w:r>
      <w:r w:rsidRPr="008D1EF1">
        <w:rPr>
          <w:rFonts w:ascii="仿宋" w:eastAsia="仿宋" w:hAnsi="仿宋"/>
          <w:sz w:val="32"/>
          <w:szCs w:val="32"/>
        </w:rPr>
        <w:t>但以最终实际抽查样品批次数量为准。</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t>三、承检单位</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委托中国商业联合会针棉织商品质量监督检验测试中心(天津)（以下简称“承检单位”）对区局管辖区域内的服装进行抽样检验。</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t>四、检验标准</w:t>
      </w:r>
    </w:p>
    <w:p w:rsidR="00FF6093" w:rsidRPr="008D1EF1" w:rsidRDefault="0013525E">
      <w:pPr>
        <w:pStyle w:val="a0"/>
        <w:rPr>
          <w:rFonts w:ascii="仿宋" w:eastAsia="仿宋" w:hAnsi="仿宋"/>
          <w:sz w:val="32"/>
          <w:szCs w:val="32"/>
        </w:rPr>
      </w:pPr>
      <w:r w:rsidRPr="008D1EF1">
        <w:rPr>
          <w:rFonts w:ascii="仿宋" w:eastAsia="仿宋" w:hAnsi="仿宋" w:hint="eastAsia"/>
          <w:kern w:val="2"/>
          <w:sz w:val="32"/>
          <w:szCs w:val="32"/>
        </w:rPr>
        <w:t>GB/T31701-2015</w:t>
      </w:r>
      <w:r w:rsidRPr="008D1EF1">
        <w:rPr>
          <w:rFonts w:ascii="仿宋" w:eastAsia="仿宋" w:hAnsi="仿宋"/>
          <w:kern w:val="2"/>
          <w:sz w:val="32"/>
          <w:szCs w:val="32"/>
        </w:rPr>
        <w:t>《</w:t>
      </w:r>
      <w:r w:rsidRPr="008D1EF1">
        <w:rPr>
          <w:rFonts w:ascii="仿宋" w:eastAsia="仿宋" w:hAnsi="仿宋" w:hint="eastAsia"/>
          <w:kern w:val="2"/>
          <w:sz w:val="32"/>
          <w:szCs w:val="32"/>
        </w:rPr>
        <w:t>婴幼儿及儿童纺织产品安全技术规范</w:t>
      </w:r>
      <w:r w:rsidRPr="008D1EF1">
        <w:rPr>
          <w:rFonts w:ascii="仿宋" w:eastAsia="仿宋" w:hAnsi="仿宋"/>
          <w:kern w:val="2"/>
          <w:sz w:val="32"/>
          <w:szCs w:val="32"/>
        </w:rPr>
        <w:t>》</w:t>
      </w:r>
      <w:r w:rsidRPr="008D1EF1">
        <w:rPr>
          <w:rFonts w:ascii="仿宋" w:eastAsia="仿宋" w:hAnsi="仿宋"/>
          <w:sz w:val="32"/>
          <w:szCs w:val="32"/>
        </w:rPr>
        <w:lastRenderedPageBreak/>
        <w:t>中“</w:t>
      </w:r>
      <w:r w:rsidRPr="008D1EF1">
        <w:rPr>
          <w:rFonts w:ascii="仿宋" w:eastAsia="仿宋" w:hAnsi="仿宋" w:hint="eastAsia"/>
          <w:sz w:val="32"/>
          <w:szCs w:val="32"/>
        </w:rPr>
        <w:t>4</w:t>
      </w:r>
      <w:r w:rsidRPr="008D1EF1">
        <w:rPr>
          <w:rFonts w:ascii="仿宋" w:eastAsia="仿宋" w:hAnsi="仿宋"/>
          <w:sz w:val="32"/>
          <w:szCs w:val="32"/>
        </w:rPr>
        <w:t>.要求”；</w:t>
      </w:r>
    </w:p>
    <w:p w:rsidR="00FF6093" w:rsidRPr="008D1EF1" w:rsidRDefault="0013525E">
      <w:pPr>
        <w:ind w:firstLine="600"/>
        <w:jc w:val="left"/>
        <w:rPr>
          <w:rFonts w:ascii="仿宋" w:eastAsia="仿宋" w:hAnsi="仿宋"/>
          <w:sz w:val="32"/>
          <w:szCs w:val="32"/>
        </w:rPr>
      </w:pPr>
      <w:r w:rsidRPr="008D1EF1">
        <w:rPr>
          <w:rFonts w:ascii="仿宋" w:eastAsia="仿宋" w:hAnsi="仿宋"/>
          <w:sz w:val="32"/>
          <w:szCs w:val="32"/>
        </w:rPr>
        <w:t>GB/T5296.4-2012《消费品使用说明 第4部分 纺织品和服装》；</w:t>
      </w:r>
    </w:p>
    <w:p w:rsidR="00FF6093" w:rsidRPr="008D1EF1" w:rsidRDefault="0013525E">
      <w:pPr>
        <w:ind w:firstLine="600"/>
        <w:rPr>
          <w:rFonts w:ascii="仿宋" w:eastAsia="仿宋" w:hAnsi="仿宋"/>
          <w:sz w:val="32"/>
          <w:szCs w:val="32"/>
        </w:rPr>
      </w:pPr>
      <w:r w:rsidRPr="008D1EF1">
        <w:rPr>
          <w:rFonts w:ascii="仿宋" w:eastAsia="仿宋" w:hAnsi="仿宋"/>
          <w:sz w:val="32"/>
          <w:szCs w:val="32"/>
        </w:rPr>
        <w:t>产品明示</w:t>
      </w:r>
      <w:r w:rsidRPr="008D1EF1">
        <w:rPr>
          <w:rFonts w:ascii="仿宋" w:eastAsia="仿宋" w:hAnsi="仿宋" w:hint="eastAsia"/>
          <w:sz w:val="32"/>
          <w:szCs w:val="32"/>
        </w:rPr>
        <w:t>执行标准；</w:t>
      </w:r>
    </w:p>
    <w:p w:rsidR="00FF6093" w:rsidRPr="008D1EF1" w:rsidRDefault="0013525E">
      <w:pPr>
        <w:ind w:firstLine="600"/>
        <w:rPr>
          <w:rFonts w:ascii="仿宋" w:eastAsia="仿宋" w:hAnsi="仿宋"/>
          <w:sz w:val="32"/>
          <w:szCs w:val="32"/>
        </w:rPr>
      </w:pPr>
      <w:r w:rsidRPr="008D1EF1">
        <w:rPr>
          <w:rFonts w:ascii="仿宋" w:eastAsia="仿宋" w:hAnsi="仿宋"/>
          <w:sz w:val="32"/>
          <w:szCs w:val="32"/>
        </w:rPr>
        <w:t>经备案的现行有效的企业标准；</w:t>
      </w:r>
    </w:p>
    <w:p w:rsidR="00FF6093" w:rsidRPr="008D1EF1" w:rsidRDefault="0013525E">
      <w:pPr>
        <w:ind w:firstLine="600"/>
        <w:rPr>
          <w:rFonts w:ascii="仿宋" w:eastAsia="仿宋" w:hAnsi="仿宋"/>
          <w:sz w:val="32"/>
          <w:szCs w:val="32"/>
        </w:rPr>
      </w:pPr>
      <w:r w:rsidRPr="008D1EF1">
        <w:rPr>
          <w:rFonts w:ascii="仿宋" w:eastAsia="仿宋" w:hAnsi="仿宋"/>
          <w:sz w:val="32"/>
          <w:szCs w:val="32"/>
        </w:rPr>
        <w:t>产品明示质量指标及国家法律、法规、规章的有关规定。</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t>五、检验项目</w:t>
      </w:r>
    </w:p>
    <w:p w:rsidR="00FF6093" w:rsidRPr="008D1EF1" w:rsidRDefault="0013525E">
      <w:pPr>
        <w:jc w:val="center"/>
        <w:rPr>
          <w:rFonts w:ascii="仿宋" w:eastAsia="仿宋" w:hAnsi="仿宋"/>
          <w:b/>
          <w:bCs/>
          <w:color w:val="000000" w:themeColor="text1"/>
          <w:sz w:val="32"/>
          <w:szCs w:val="32"/>
        </w:rPr>
      </w:pPr>
      <w:r w:rsidRPr="008D1EF1">
        <w:rPr>
          <w:rFonts w:ascii="仿宋" w:eastAsia="仿宋" w:hAnsi="仿宋"/>
          <w:b/>
          <w:bCs/>
          <w:color w:val="000000" w:themeColor="text1"/>
          <w:sz w:val="32"/>
          <w:szCs w:val="32"/>
        </w:rPr>
        <w:t xml:space="preserve">表1  </w:t>
      </w:r>
      <w:r w:rsidRPr="008D1EF1">
        <w:rPr>
          <w:rFonts w:ascii="仿宋" w:eastAsia="仿宋" w:hAnsi="仿宋" w:hint="eastAsia"/>
          <w:b/>
          <w:bCs/>
          <w:color w:val="000000" w:themeColor="text1"/>
          <w:sz w:val="32"/>
          <w:szCs w:val="32"/>
        </w:rPr>
        <w:t>服装</w:t>
      </w:r>
      <w:r w:rsidRPr="008D1EF1">
        <w:rPr>
          <w:rFonts w:ascii="仿宋" w:eastAsia="仿宋" w:hAnsi="仿宋"/>
          <w:b/>
          <w:bCs/>
          <w:color w:val="000000" w:themeColor="text1"/>
          <w:sz w:val="32"/>
          <w:szCs w:val="32"/>
        </w:rPr>
        <w:t>检验项目及判定依据</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15"/>
        <w:gridCol w:w="2430"/>
        <w:gridCol w:w="2756"/>
      </w:tblGrid>
      <w:tr w:rsidR="00FF6093" w:rsidRPr="008D1EF1">
        <w:trPr>
          <w:trHeight w:val="460"/>
          <w:jc w:val="center"/>
        </w:trPr>
        <w:tc>
          <w:tcPr>
            <w:tcW w:w="854"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序号</w:t>
            </w:r>
          </w:p>
        </w:tc>
        <w:tc>
          <w:tcPr>
            <w:tcW w:w="3115"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检测项目</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技术要求标准条款</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试验方法标准条款</w:t>
            </w:r>
          </w:p>
        </w:tc>
      </w:tr>
      <w:tr w:rsidR="00FF6093" w:rsidRPr="008D1EF1">
        <w:trPr>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1</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甲醛含量</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GB/T2912.1-2009</w:t>
            </w:r>
          </w:p>
        </w:tc>
      </w:tr>
      <w:tr w:rsidR="00FF6093" w:rsidRPr="008D1EF1">
        <w:trPr>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2</w:t>
            </w:r>
          </w:p>
        </w:tc>
        <w:tc>
          <w:tcPr>
            <w:tcW w:w="3115" w:type="dxa"/>
            <w:vAlign w:val="center"/>
          </w:tcPr>
          <w:p w:rsidR="00FF6093" w:rsidRPr="008D1EF1" w:rsidRDefault="0013525E">
            <w:pPr>
              <w:spacing w:line="480" w:lineRule="exact"/>
              <w:jc w:val="center"/>
              <w:rPr>
                <w:rFonts w:ascii="仿宋" w:eastAsia="仿宋" w:hAnsi="仿宋"/>
                <w:spacing w:val="-20"/>
                <w:sz w:val="32"/>
                <w:szCs w:val="32"/>
              </w:rPr>
            </w:pPr>
            <w:r w:rsidRPr="008D1EF1">
              <w:rPr>
                <w:rFonts w:ascii="仿宋" w:eastAsia="仿宋" w:hAnsi="仿宋"/>
                <w:sz w:val="32"/>
                <w:szCs w:val="32"/>
              </w:rPr>
              <w:t>pH值</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GB/T7573-2009</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pacing w:val="-20"/>
                <w:sz w:val="32"/>
                <w:szCs w:val="32"/>
              </w:rPr>
            </w:pPr>
            <w:r w:rsidRPr="008D1EF1">
              <w:rPr>
                <w:rFonts w:ascii="仿宋" w:eastAsia="仿宋" w:hAnsi="仿宋"/>
                <w:spacing w:val="-20"/>
                <w:sz w:val="32"/>
                <w:szCs w:val="32"/>
              </w:rPr>
              <w:t>3</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可分解致癌芳香胺染料</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GB/T17592-2011</w:t>
            </w:r>
          </w:p>
          <w:p w:rsidR="00FF6093" w:rsidRPr="008D1EF1" w:rsidRDefault="0013525E">
            <w:pPr>
              <w:jc w:val="center"/>
              <w:rPr>
                <w:rFonts w:ascii="仿宋" w:eastAsia="仿宋" w:hAnsi="仿宋"/>
                <w:sz w:val="32"/>
                <w:szCs w:val="32"/>
              </w:rPr>
            </w:pPr>
            <w:r w:rsidRPr="008D1EF1">
              <w:rPr>
                <w:rFonts w:ascii="仿宋" w:eastAsia="仿宋" w:hAnsi="仿宋"/>
                <w:sz w:val="32"/>
                <w:szCs w:val="32"/>
              </w:rPr>
              <w:t>GB/T23344-2009</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pacing w:val="-20"/>
                <w:sz w:val="32"/>
                <w:szCs w:val="32"/>
              </w:rPr>
            </w:pPr>
            <w:r w:rsidRPr="008D1EF1">
              <w:rPr>
                <w:rFonts w:ascii="仿宋" w:eastAsia="仿宋" w:hAnsi="仿宋"/>
                <w:sz w:val="32"/>
                <w:szCs w:val="32"/>
              </w:rPr>
              <w:t>4</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异味</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GB18401-2010</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5</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耐水色牢度</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GB/T5713-2013</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6</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耐汗渍色牢度（酸、碱）</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GB/T3922-2013</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lastRenderedPageBreak/>
              <w:t>7</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耐摩擦色牢度（干摩、湿摩）</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GB/T3920-2008</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8</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耐唾液</w:t>
            </w:r>
            <w:r w:rsidRPr="008D1EF1">
              <w:rPr>
                <w:rFonts w:ascii="仿宋" w:eastAsia="仿宋" w:hAnsi="仿宋"/>
                <w:sz w:val="32"/>
                <w:szCs w:val="32"/>
              </w:rPr>
              <w:t>色牢度</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w:t>
            </w:r>
            <w:r w:rsidRPr="008D1EF1">
              <w:rPr>
                <w:rFonts w:ascii="仿宋" w:eastAsia="仿宋" w:hAnsi="仿宋" w:hint="eastAsia"/>
                <w:sz w:val="32"/>
                <w:szCs w:val="32"/>
              </w:rPr>
              <w:t>18886-2013</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9</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燃烧性能</w:t>
            </w:r>
          </w:p>
        </w:tc>
        <w:tc>
          <w:tcPr>
            <w:tcW w:w="2430" w:type="dxa"/>
            <w:vAlign w:val="center"/>
          </w:tcPr>
          <w:p w:rsidR="00FF6093" w:rsidRPr="008D1EF1" w:rsidRDefault="0013525E">
            <w:pPr>
              <w:jc w:val="center"/>
              <w:rPr>
                <w:rFonts w:ascii="仿宋" w:eastAsia="仿宋" w:hAnsi="仿宋"/>
                <w:color w:val="000000"/>
                <w:sz w:val="32"/>
                <w:szCs w:val="32"/>
              </w:rPr>
            </w:pPr>
            <w:r w:rsidRPr="008D1EF1">
              <w:rPr>
                <w:rFonts w:ascii="仿宋" w:eastAsia="仿宋" w:hAnsi="仿宋" w:hint="eastAsia"/>
                <w:color w:val="000000"/>
                <w:sz w:val="32"/>
                <w:szCs w:val="32"/>
              </w:rPr>
              <w:t>GB31701-2015</w:t>
            </w:r>
          </w:p>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GB/T14644-2014</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10</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重金属</w:t>
            </w:r>
          </w:p>
        </w:tc>
        <w:tc>
          <w:tcPr>
            <w:tcW w:w="2430" w:type="dxa"/>
            <w:vAlign w:val="center"/>
          </w:tcPr>
          <w:p w:rsidR="00FF6093" w:rsidRPr="008D1EF1" w:rsidRDefault="0013525E">
            <w:pPr>
              <w:jc w:val="center"/>
              <w:rPr>
                <w:rFonts w:ascii="仿宋" w:eastAsia="仿宋" w:hAnsi="仿宋"/>
                <w:color w:val="000000"/>
                <w:sz w:val="32"/>
                <w:szCs w:val="32"/>
              </w:rPr>
            </w:pPr>
            <w:r w:rsidRPr="008D1EF1">
              <w:rPr>
                <w:rFonts w:ascii="仿宋" w:eastAsia="仿宋" w:hAnsi="仿宋" w:hint="eastAsia"/>
                <w:color w:val="000000"/>
                <w:sz w:val="32"/>
                <w:szCs w:val="32"/>
              </w:rPr>
              <w:t>GB31701-2015</w:t>
            </w:r>
          </w:p>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GB/T30157-2013</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11</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附件抗拉强力</w:t>
            </w:r>
          </w:p>
        </w:tc>
        <w:tc>
          <w:tcPr>
            <w:tcW w:w="2430" w:type="dxa"/>
            <w:vAlign w:val="center"/>
          </w:tcPr>
          <w:p w:rsidR="00FF6093" w:rsidRPr="008D1EF1" w:rsidRDefault="0013525E">
            <w:pPr>
              <w:jc w:val="center"/>
              <w:rPr>
                <w:rFonts w:ascii="仿宋" w:eastAsia="仿宋" w:hAnsi="仿宋"/>
                <w:color w:val="000000"/>
                <w:sz w:val="32"/>
                <w:szCs w:val="32"/>
              </w:rPr>
            </w:pPr>
            <w:r w:rsidRPr="008D1EF1">
              <w:rPr>
                <w:rFonts w:ascii="仿宋" w:eastAsia="仿宋" w:hAnsi="仿宋" w:hint="eastAsia"/>
                <w:color w:val="000000"/>
                <w:sz w:val="32"/>
                <w:szCs w:val="32"/>
              </w:rPr>
              <w:t>GB31701-2015</w:t>
            </w:r>
          </w:p>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GB31701-2015附录A</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12</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附件锐利性</w:t>
            </w:r>
          </w:p>
        </w:tc>
        <w:tc>
          <w:tcPr>
            <w:tcW w:w="2430" w:type="dxa"/>
            <w:vAlign w:val="center"/>
          </w:tcPr>
          <w:p w:rsidR="00FF6093" w:rsidRPr="008D1EF1" w:rsidRDefault="0013525E">
            <w:pPr>
              <w:jc w:val="center"/>
              <w:rPr>
                <w:rFonts w:ascii="仿宋" w:eastAsia="仿宋" w:hAnsi="仿宋"/>
                <w:color w:val="000000"/>
                <w:sz w:val="32"/>
                <w:szCs w:val="32"/>
              </w:rPr>
            </w:pPr>
            <w:r w:rsidRPr="008D1EF1">
              <w:rPr>
                <w:rFonts w:ascii="仿宋" w:eastAsia="仿宋" w:hAnsi="仿宋" w:hint="eastAsia"/>
                <w:color w:val="000000"/>
                <w:sz w:val="32"/>
                <w:szCs w:val="32"/>
              </w:rPr>
              <w:t>GB31701-2015</w:t>
            </w:r>
          </w:p>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GB31701-2015 4.4</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13</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kern w:val="0"/>
                <w:sz w:val="32"/>
                <w:szCs w:val="32"/>
              </w:rPr>
              <w:t>耐光色牢度/级</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GB/T8427-20</w:t>
            </w:r>
            <w:r w:rsidRPr="008D1EF1">
              <w:rPr>
                <w:rFonts w:ascii="仿宋" w:eastAsia="仿宋" w:hAnsi="仿宋" w:hint="eastAsia"/>
                <w:sz w:val="32"/>
                <w:szCs w:val="32"/>
              </w:rPr>
              <w:t>19</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14</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kern w:val="0"/>
                <w:sz w:val="32"/>
                <w:szCs w:val="32"/>
              </w:rPr>
              <w:t>耐光</w:t>
            </w:r>
            <w:r w:rsidRPr="008D1EF1">
              <w:rPr>
                <w:rFonts w:ascii="仿宋" w:eastAsia="仿宋" w:hAnsi="仿宋" w:hint="eastAsia"/>
                <w:kern w:val="0"/>
                <w:sz w:val="32"/>
                <w:szCs w:val="32"/>
              </w:rPr>
              <w:t>、汗复合</w:t>
            </w:r>
            <w:r w:rsidRPr="008D1EF1">
              <w:rPr>
                <w:rFonts w:ascii="仿宋" w:eastAsia="仿宋" w:hAnsi="仿宋"/>
                <w:kern w:val="0"/>
                <w:sz w:val="32"/>
                <w:szCs w:val="32"/>
              </w:rPr>
              <w:t>色牢度/级</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GB/T14576-2009</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15</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耐皂洗色牢度</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GB/T3921-2008</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lastRenderedPageBreak/>
              <w:t>16</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起球</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GB/T4802</w:t>
            </w:r>
            <w:r w:rsidRPr="008D1EF1">
              <w:rPr>
                <w:rFonts w:ascii="仿宋" w:eastAsia="仿宋" w:hAnsi="仿宋" w:hint="eastAsia"/>
                <w:sz w:val="32"/>
                <w:szCs w:val="32"/>
              </w:rPr>
              <w:t>.1.2.3</w:t>
            </w:r>
            <w:r w:rsidRPr="008D1EF1">
              <w:rPr>
                <w:rFonts w:ascii="仿宋" w:eastAsia="仿宋" w:hAnsi="仿宋"/>
                <w:sz w:val="32"/>
                <w:szCs w:val="32"/>
              </w:rPr>
              <w:t>-2008</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17</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水洗尺寸变化率</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GB/T8629-2017</w:t>
            </w:r>
          </w:p>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GB/T8630-2013</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18</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pacing w:val="-20"/>
                <w:sz w:val="32"/>
                <w:szCs w:val="32"/>
              </w:rPr>
              <w:t>纤维含量</w:t>
            </w:r>
          </w:p>
        </w:tc>
        <w:tc>
          <w:tcPr>
            <w:tcW w:w="2430"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产品明示质量标准</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FZ/T01057-2007</w:t>
            </w:r>
          </w:p>
          <w:p w:rsidR="00FF6093" w:rsidRPr="008D1EF1" w:rsidRDefault="0013525E">
            <w:pPr>
              <w:jc w:val="center"/>
              <w:rPr>
                <w:rFonts w:ascii="仿宋" w:eastAsia="仿宋" w:hAnsi="仿宋"/>
                <w:sz w:val="32"/>
                <w:szCs w:val="32"/>
              </w:rPr>
            </w:pPr>
            <w:r w:rsidRPr="008D1EF1">
              <w:rPr>
                <w:rFonts w:ascii="仿宋" w:eastAsia="仿宋" w:hAnsi="仿宋" w:hint="eastAsia"/>
                <w:sz w:val="32"/>
                <w:szCs w:val="32"/>
              </w:rPr>
              <w:t>GB/T2910-2009</w:t>
            </w:r>
          </w:p>
        </w:tc>
      </w:tr>
      <w:tr w:rsidR="00FF6093" w:rsidRPr="008D1EF1">
        <w:trPr>
          <w:cantSplit/>
          <w:trHeight w:val="460"/>
          <w:jc w:val="center"/>
        </w:trPr>
        <w:tc>
          <w:tcPr>
            <w:tcW w:w="854"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hint="eastAsia"/>
                <w:sz w:val="32"/>
                <w:szCs w:val="32"/>
              </w:rPr>
              <w:t>19</w:t>
            </w:r>
          </w:p>
        </w:tc>
        <w:tc>
          <w:tcPr>
            <w:tcW w:w="3115" w:type="dxa"/>
            <w:vAlign w:val="center"/>
          </w:tcPr>
          <w:p w:rsidR="00FF6093" w:rsidRPr="008D1EF1" w:rsidRDefault="0013525E">
            <w:pPr>
              <w:spacing w:line="480" w:lineRule="exact"/>
              <w:jc w:val="center"/>
              <w:rPr>
                <w:rFonts w:ascii="仿宋" w:eastAsia="仿宋" w:hAnsi="仿宋"/>
                <w:sz w:val="32"/>
                <w:szCs w:val="32"/>
              </w:rPr>
            </w:pPr>
            <w:r w:rsidRPr="008D1EF1">
              <w:rPr>
                <w:rFonts w:ascii="仿宋" w:eastAsia="仿宋" w:hAnsi="仿宋"/>
                <w:sz w:val="32"/>
                <w:szCs w:val="32"/>
              </w:rPr>
              <w:t>商品使用说明（标识）</w:t>
            </w:r>
          </w:p>
        </w:tc>
        <w:tc>
          <w:tcPr>
            <w:tcW w:w="2430" w:type="dxa"/>
            <w:vAlign w:val="center"/>
          </w:tcPr>
          <w:p w:rsidR="00FF6093" w:rsidRPr="008D1EF1" w:rsidRDefault="0013525E">
            <w:pPr>
              <w:spacing w:line="240" w:lineRule="atLeast"/>
              <w:jc w:val="center"/>
              <w:rPr>
                <w:rFonts w:ascii="仿宋" w:eastAsia="仿宋" w:hAnsi="仿宋"/>
                <w:sz w:val="32"/>
                <w:szCs w:val="32"/>
              </w:rPr>
            </w:pPr>
            <w:r w:rsidRPr="008D1EF1">
              <w:rPr>
                <w:rFonts w:ascii="仿宋" w:eastAsia="仿宋" w:hAnsi="仿宋"/>
                <w:sz w:val="32"/>
                <w:szCs w:val="32"/>
              </w:rPr>
              <w:t>GB/T5296.4-2012</w:t>
            </w:r>
          </w:p>
        </w:tc>
        <w:tc>
          <w:tcPr>
            <w:tcW w:w="2756" w:type="dxa"/>
            <w:vAlign w:val="center"/>
          </w:tcPr>
          <w:p w:rsidR="00FF6093" w:rsidRPr="008D1EF1" w:rsidRDefault="0013525E">
            <w:pPr>
              <w:jc w:val="center"/>
              <w:rPr>
                <w:rFonts w:ascii="仿宋" w:eastAsia="仿宋" w:hAnsi="仿宋"/>
                <w:sz w:val="32"/>
                <w:szCs w:val="32"/>
              </w:rPr>
            </w:pPr>
            <w:r w:rsidRPr="008D1EF1">
              <w:rPr>
                <w:rFonts w:ascii="仿宋" w:eastAsia="仿宋" w:hAnsi="仿宋"/>
                <w:sz w:val="32"/>
                <w:szCs w:val="32"/>
              </w:rPr>
              <w:t>GB/T5296.4-2012</w:t>
            </w:r>
          </w:p>
        </w:tc>
      </w:tr>
      <w:tr w:rsidR="00FF6093" w:rsidRPr="008D1EF1">
        <w:trPr>
          <w:cantSplit/>
          <w:trHeight w:val="460"/>
          <w:jc w:val="center"/>
        </w:trPr>
        <w:tc>
          <w:tcPr>
            <w:tcW w:w="9155" w:type="dxa"/>
            <w:gridSpan w:val="4"/>
            <w:vAlign w:val="center"/>
          </w:tcPr>
          <w:p w:rsidR="00FF6093" w:rsidRPr="008D1EF1" w:rsidRDefault="0013525E">
            <w:pPr>
              <w:jc w:val="left"/>
              <w:rPr>
                <w:rFonts w:ascii="仿宋" w:eastAsia="仿宋" w:hAnsi="仿宋"/>
                <w:sz w:val="32"/>
                <w:szCs w:val="32"/>
              </w:rPr>
            </w:pPr>
            <w:r w:rsidRPr="008D1EF1">
              <w:rPr>
                <w:rFonts w:ascii="仿宋" w:eastAsia="仿宋" w:hAnsi="仿宋"/>
                <w:sz w:val="32"/>
                <w:szCs w:val="32"/>
              </w:rPr>
              <w:t>备注：根据产品明示标准的不同，检测项目有所调整。</w:t>
            </w:r>
          </w:p>
        </w:tc>
      </w:tr>
    </w:tbl>
    <w:p w:rsidR="00FF6093" w:rsidRPr="008D1EF1" w:rsidRDefault="00FF6093">
      <w:pPr>
        <w:ind w:firstLineChars="200" w:firstLine="640"/>
        <w:rPr>
          <w:rFonts w:ascii="仿宋" w:eastAsia="仿宋" w:hAnsi="仿宋"/>
          <w:sz w:val="32"/>
          <w:szCs w:val="32"/>
        </w:rPr>
      </w:pP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注意事项：</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（1）当产品的国家、行业、地方标准中强制性条款和执行的企业标准（含明示质量指标）各技术要求不一致时，应按其中最严要求进行质量判定；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（2）当产品执行国家、行业、地方标准时，按国家、行业、地方标准要求进行质量判定。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（3）当产品执行企业标准（含明示质量指标）时，按其企业标准要求进行质量判定。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若产品明示的执行标准为经备案的现行有效的企业标准，则视为其企业标准为明示质量指标，并要求企业提供其现行有效的企业标准文本。若企业未提供现行有效的企业标准文本或技术条件，承检机构按相关产品国家、行业标准检</w:t>
      </w:r>
      <w:r w:rsidRPr="008D1EF1">
        <w:rPr>
          <w:rFonts w:ascii="仿宋" w:eastAsia="仿宋" w:hAnsi="仿宋"/>
          <w:sz w:val="32"/>
          <w:szCs w:val="32"/>
        </w:rPr>
        <w:lastRenderedPageBreak/>
        <w:t>测判定。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hint="eastAsia"/>
          <w:sz w:val="32"/>
          <w:szCs w:val="32"/>
        </w:rPr>
        <w:t>凡是注日期的文件，其随后所有的修改单（不包括勘误的内容）或修订版不适用于本细则。凡是不注日期的文件，其最新版本适用于本方案。</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t>五、抽样</w:t>
      </w:r>
    </w:p>
    <w:p w:rsidR="00FF6093" w:rsidRPr="008D1EF1" w:rsidRDefault="0013525E">
      <w:pPr>
        <w:rPr>
          <w:rFonts w:ascii="仿宋" w:eastAsia="仿宋" w:hAnsi="仿宋"/>
          <w:sz w:val="32"/>
          <w:szCs w:val="32"/>
        </w:rPr>
      </w:pPr>
      <w:r w:rsidRPr="008D1EF1">
        <w:rPr>
          <w:rFonts w:ascii="仿宋" w:eastAsia="仿宋" w:hAnsi="仿宋"/>
          <w:sz w:val="32"/>
          <w:szCs w:val="32"/>
        </w:rPr>
        <w:t>（一）抽样型号或规格</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抽取样品应为同一颜色、同一规格型号、同一批次（货号）的产品。优先抽取企业的主导产品。</w:t>
      </w:r>
    </w:p>
    <w:p w:rsidR="00FF6093" w:rsidRPr="008D1EF1" w:rsidRDefault="0013525E">
      <w:pPr>
        <w:rPr>
          <w:rFonts w:ascii="仿宋" w:eastAsia="仿宋" w:hAnsi="仿宋"/>
          <w:sz w:val="32"/>
          <w:szCs w:val="32"/>
        </w:rPr>
      </w:pPr>
      <w:r w:rsidRPr="008D1EF1">
        <w:rPr>
          <w:rFonts w:ascii="仿宋" w:eastAsia="仿宋" w:hAnsi="仿宋"/>
          <w:sz w:val="32"/>
          <w:szCs w:val="32"/>
        </w:rPr>
        <w:t>（二）抽样方法、基数及数量</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1、抽样方法、基数：以抽查方式到区局管辖区域内的生产、流通企业进行随机抽样，抽样基数能够满足所需样品数即可，但优先选取企业主导或存量较大的服装</w:t>
      </w:r>
      <w:r w:rsidRPr="008D1EF1">
        <w:rPr>
          <w:rFonts w:ascii="仿宋" w:eastAsia="仿宋" w:hAnsi="仿宋" w:hint="eastAsia"/>
          <w:sz w:val="32"/>
          <w:szCs w:val="32"/>
        </w:rPr>
        <w:t>。</w:t>
      </w:r>
    </w:p>
    <w:p w:rsidR="00FF6093" w:rsidRPr="008D1EF1" w:rsidRDefault="0013525E">
      <w:pPr>
        <w:pStyle w:val="a0"/>
        <w:rPr>
          <w:rFonts w:ascii="仿宋" w:eastAsia="仿宋" w:hAnsi="仿宋"/>
          <w:sz w:val="32"/>
          <w:szCs w:val="32"/>
        </w:rPr>
      </w:pPr>
      <w:r w:rsidRPr="008D1EF1">
        <w:rPr>
          <w:rFonts w:ascii="仿宋" w:eastAsia="仿宋" w:hAnsi="仿宋"/>
          <w:sz w:val="32"/>
          <w:szCs w:val="32"/>
        </w:rPr>
        <w:t>2、抽样数量：每批次抽取同批次（同货号、同款式、同颜色）服装2件（套），其中1件（套）作为检测样品，1件（套）作为备份样品</w:t>
      </w:r>
      <w:r w:rsidRPr="008D1EF1">
        <w:rPr>
          <w:rFonts w:ascii="仿宋" w:eastAsia="仿宋" w:hAnsi="仿宋" w:hint="eastAsia"/>
          <w:sz w:val="32"/>
          <w:szCs w:val="32"/>
        </w:rPr>
        <w:t>，</w:t>
      </w:r>
      <w:r w:rsidRPr="008D1EF1">
        <w:rPr>
          <w:rFonts w:ascii="仿宋" w:eastAsia="仿宋" w:hAnsi="仿宋"/>
          <w:sz w:val="32"/>
          <w:szCs w:val="32"/>
        </w:rPr>
        <w:t>备样存于</w:t>
      </w:r>
      <w:r w:rsidRPr="008D1EF1">
        <w:rPr>
          <w:rFonts w:ascii="仿宋" w:eastAsia="仿宋" w:hAnsi="仿宋" w:hint="eastAsia"/>
          <w:sz w:val="32"/>
          <w:szCs w:val="32"/>
        </w:rPr>
        <w:t>区局</w:t>
      </w:r>
      <w:r w:rsidRPr="008D1EF1">
        <w:rPr>
          <w:rFonts w:ascii="仿宋" w:eastAsia="仿宋" w:hAnsi="仿宋"/>
          <w:sz w:val="32"/>
          <w:szCs w:val="32"/>
        </w:rPr>
        <w:t>。（注：根据测试需要，部分样品可能需要</w:t>
      </w:r>
      <w:r w:rsidRPr="008D1EF1">
        <w:rPr>
          <w:rFonts w:ascii="仿宋" w:eastAsia="仿宋" w:hAnsi="仿宋" w:hint="eastAsia"/>
          <w:sz w:val="32"/>
          <w:szCs w:val="32"/>
        </w:rPr>
        <w:t>加量抽样</w:t>
      </w:r>
      <w:r w:rsidRPr="008D1EF1">
        <w:rPr>
          <w:rFonts w:ascii="仿宋" w:eastAsia="仿宋" w:hAnsi="仿宋"/>
          <w:sz w:val="32"/>
          <w:szCs w:val="32"/>
        </w:rPr>
        <w:t>）</w:t>
      </w:r>
      <w:r w:rsidRPr="008D1EF1">
        <w:rPr>
          <w:rFonts w:ascii="仿宋" w:eastAsia="仿宋" w:hAnsi="仿宋" w:hint="eastAsia"/>
          <w:sz w:val="32"/>
          <w:szCs w:val="32"/>
        </w:rPr>
        <w:t>。</w:t>
      </w:r>
    </w:p>
    <w:p w:rsidR="00FF6093" w:rsidRPr="008D1EF1" w:rsidRDefault="0013525E">
      <w:pPr>
        <w:rPr>
          <w:rFonts w:ascii="仿宋" w:eastAsia="仿宋" w:hAnsi="仿宋"/>
          <w:sz w:val="32"/>
          <w:szCs w:val="32"/>
        </w:rPr>
      </w:pPr>
      <w:r w:rsidRPr="008D1EF1">
        <w:rPr>
          <w:rFonts w:ascii="仿宋" w:eastAsia="仿宋" w:hAnsi="仿宋"/>
          <w:sz w:val="32"/>
          <w:szCs w:val="32"/>
        </w:rPr>
        <w:t>（三）样品处置</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1、现场所抽取样品应现场封样，加贴由区局执法人员、承检单位抽样人员、被抽查当事人三方签字确认的封条。抽取的样品按运输条件包装好，由承检单位抽样人员带回，运输时严防雨淋、日晒、受潮。</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2、备份样品存于</w:t>
      </w:r>
      <w:r w:rsidRPr="008D1EF1">
        <w:rPr>
          <w:rFonts w:ascii="仿宋" w:eastAsia="仿宋" w:hAnsi="仿宋" w:hint="eastAsia"/>
          <w:sz w:val="32"/>
          <w:szCs w:val="32"/>
        </w:rPr>
        <w:t>被抽查当事人处</w:t>
      </w:r>
      <w:r w:rsidRPr="008D1EF1">
        <w:rPr>
          <w:rFonts w:ascii="仿宋" w:eastAsia="仿宋" w:hAnsi="仿宋"/>
          <w:sz w:val="32"/>
          <w:szCs w:val="32"/>
        </w:rPr>
        <w:t>。</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lastRenderedPageBreak/>
        <w:t>六、结果判定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经检验，检验项目全部合格，判定为被抽查产品合格；检验项目中任一项或一项以上不合格，判定为被抽查产品不合格。当产品仅存在标签不合格时，单独判定标签不合格。</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t>七、检验报告</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承检单位应按照约定时限提交由检验人员及检验机构代表签名盖章的报告一式叁份，同时承检单位向区局提供检验结果汇总表纸质版及电子版各一份。</w:t>
      </w:r>
      <w:bookmarkStart w:id="0" w:name="_GoBack"/>
      <w:bookmarkEnd w:id="0"/>
    </w:p>
    <w:p w:rsidR="00FF6093" w:rsidRPr="008D1EF1" w:rsidRDefault="0013525E">
      <w:pPr>
        <w:ind w:firstLineChars="200" w:firstLine="640"/>
        <w:rPr>
          <w:rFonts w:ascii="仿宋" w:eastAsia="仿宋" w:hAnsi="仿宋"/>
          <w:sz w:val="32"/>
          <w:szCs w:val="32"/>
        </w:rPr>
      </w:pPr>
      <w:r w:rsidRPr="008D1EF1">
        <w:rPr>
          <w:rFonts w:ascii="仿宋" w:eastAsia="仿宋" w:hAnsi="仿宋" w:hint="eastAsia"/>
          <w:sz w:val="32"/>
          <w:szCs w:val="32"/>
        </w:rPr>
        <w:t>若被检产品明示的质量要求高于本细则中检验项目依据的标准要求时，应按被检产品明示的质量要求判定。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hint="eastAsia"/>
          <w:sz w:val="32"/>
          <w:szCs w:val="32"/>
        </w:rPr>
        <w:t>若被检产品明示的质量要求低于本细则中检验项目依据的强制性标准要求时，应按照强制性标准要求判定。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hint="eastAsia"/>
          <w:sz w:val="32"/>
          <w:szCs w:val="32"/>
        </w:rPr>
        <w:t>若被检产品明示的质量要求低于或包含细则中检验项目依据的推荐性标准要求时，应以被检产品明示的质量要求判定，但应在检验报告备注中进行说明。</w:t>
      </w:r>
    </w:p>
    <w:p w:rsidR="00FF6093" w:rsidRPr="008D1EF1" w:rsidRDefault="0013525E">
      <w:pPr>
        <w:ind w:firstLineChars="200" w:firstLine="640"/>
        <w:rPr>
          <w:rFonts w:ascii="仿宋" w:eastAsia="仿宋" w:hAnsi="仿宋"/>
          <w:sz w:val="32"/>
          <w:szCs w:val="32"/>
        </w:rPr>
      </w:pPr>
      <w:r w:rsidRPr="008D1EF1">
        <w:rPr>
          <w:rFonts w:ascii="仿宋" w:eastAsia="仿宋" w:hAnsi="仿宋" w:hint="eastAsia"/>
          <w:sz w:val="32"/>
          <w:szCs w:val="32"/>
        </w:rPr>
        <w:t>若被检产品明示的质量要求缺少本细则中检验项目依据的强制性标准要求时，应按照强制性标准要求判定。</w:t>
      </w:r>
    </w:p>
    <w:p w:rsidR="00FF6093" w:rsidRPr="008D1EF1" w:rsidRDefault="0013525E">
      <w:pPr>
        <w:ind w:firstLineChars="200" w:firstLine="640"/>
        <w:rPr>
          <w:rFonts w:ascii="仿宋" w:eastAsia="仿宋" w:hAnsi="仿宋"/>
          <w:sz w:val="32"/>
          <w:szCs w:val="32"/>
        </w:rPr>
      </w:pPr>
      <w:r w:rsidRPr="008D1EF1">
        <w:rPr>
          <w:rFonts w:ascii="仿宋" w:eastAsia="仿宋" w:hAnsi="仿宋" w:hint="eastAsia"/>
          <w:sz w:val="32"/>
          <w:szCs w:val="32"/>
        </w:rPr>
        <w:t>若被检产品明示的质量要求缺少本细则中检验项目依据的推荐性标准要求时，该项目不参与判定，但应在检验报告备注中进行说明。</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t>八、异议处理</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（一）被抽查当事人对检验结果有异议的，应自收到检</w:t>
      </w:r>
      <w:r w:rsidRPr="008D1EF1">
        <w:rPr>
          <w:rFonts w:ascii="仿宋" w:eastAsia="仿宋" w:hAnsi="仿宋"/>
          <w:sz w:val="32"/>
          <w:szCs w:val="32"/>
        </w:rPr>
        <w:lastRenderedPageBreak/>
        <w:t>验报告之日起在法定时限内向区局提出书面复检申请，逾期视为承认检验结果。</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（二）对判定不合格产品进行异议复检时，按以下方式进行：</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1.核查不合格项目相关证据，能够以记录（纸质记录或电子记录或影像记录）、检验后缺陷特征样品、与不合格质量数据相关联的其他质量数据等检验证据证明。</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2.需对不合格项目进行复检时，不可以在原样上检验的采用备用样复检。当复检结果仍不合格，维持原检验结果不变。当复检结果合格，以复检结果为准。</w:t>
      </w:r>
    </w:p>
    <w:p w:rsidR="00FF6093" w:rsidRPr="008D1EF1" w:rsidRDefault="0013525E">
      <w:pPr>
        <w:rPr>
          <w:rFonts w:ascii="仿宋" w:eastAsia="仿宋" w:hAnsi="仿宋"/>
          <w:b/>
          <w:bCs/>
          <w:sz w:val="32"/>
          <w:szCs w:val="32"/>
        </w:rPr>
      </w:pPr>
      <w:r w:rsidRPr="008D1EF1">
        <w:rPr>
          <w:rFonts w:ascii="仿宋" w:eastAsia="仿宋" w:hAnsi="仿宋"/>
          <w:b/>
          <w:bCs/>
          <w:sz w:val="32"/>
          <w:szCs w:val="32"/>
        </w:rPr>
        <w:t>九、样品返还处理</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1、除不以破坏性试验方式进行检验，并且不会对样品质量造成实质性影响的外，抽样人员应当购买检验样品。购买检验样品的价格以生产、销售产品的标价为准；没有标价的，以同类产品的市场价格为准。备用样品由被抽样生产者、销售者先行无偿提供。法律、行政法规、部门规章对样品获取方式另有规定的，依照其规定。</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检验后的残留样品，承检单位</w:t>
      </w:r>
      <w:r w:rsidRPr="008D1EF1">
        <w:rPr>
          <w:rFonts w:ascii="仿宋" w:eastAsia="仿宋" w:hAnsi="仿宋" w:hint="eastAsia"/>
          <w:sz w:val="32"/>
          <w:szCs w:val="32"/>
        </w:rPr>
        <w:t>按照相关规定</w:t>
      </w:r>
      <w:r w:rsidRPr="008D1EF1">
        <w:rPr>
          <w:rFonts w:ascii="仿宋" w:eastAsia="仿宋" w:hAnsi="仿宋"/>
          <w:sz w:val="32"/>
          <w:szCs w:val="32"/>
        </w:rPr>
        <w:t>处理，并做好后处理相关记录，根据工作需要区局可对相关记录进行调阅。</w:t>
      </w:r>
    </w:p>
    <w:p w:rsidR="00FF6093" w:rsidRPr="008D1EF1" w:rsidRDefault="0013525E">
      <w:pPr>
        <w:ind w:firstLineChars="200" w:firstLine="640"/>
        <w:rPr>
          <w:rFonts w:ascii="仿宋" w:eastAsia="仿宋" w:hAnsi="仿宋"/>
          <w:sz w:val="32"/>
          <w:szCs w:val="32"/>
        </w:rPr>
      </w:pPr>
      <w:r w:rsidRPr="008D1EF1">
        <w:rPr>
          <w:rFonts w:ascii="仿宋" w:eastAsia="仿宋" w:hAnsi="仿宋"/>
          <w:sz w:val="32"/>
          <w:szCs w:val="32"/>
        </w:rPr>
        <w:t>2、留存于区局的备份样品，在当事人收到区局送达的结论为合格的检验报告且对检验结果无任何异议后，可按照</w:t>
      </w:r>
      <w:r w:rsidRPr="008D1EF1">
        <w:rPr>
          <w:rFonts w:ascii="仿宋" w:eastAsia="仿宋" w:hAnsi="仿宋"/>
          <w:sz w:val="32"/>
          <w:szCs w:val="32"/>
        </w:rPr>
        <w:lastRenderedPageBreak/>
        <w:t>法定程序向区局申请取回备份样品；若检验结论为不合格，备份样品作为涉案物品由具体案件承办单位处理。</w:t>
      </w:r>
    </w:p>
    <w:p w:rsidR="00FF6093" w:rsidRDefault="00FF6093">
      <w:pPr>
        <w:ind w:firstLineChars="200" w:firstLine="560"/>
        <w:rPr>
          <w:rFonts w:eastAsia="仿宋_GB2312"/>
          <w:sz w:val="28"/>
          <w:szCs w:val="28"/>
        </w:rPr>
      </w:pPr>
    </w:p>
    <w:p w:rsidR="00FF6093" w:rsidRDefault="00FF6093">
      <w:pPr>
        <w:ind w:firstLineChars="200" w:firstLine="560"/>
        <w:rPr>
          <w:rFonts w:eastAsia="仿宋"/>
          <w:sz w:val="28"/>
          <w:szCs w:val="28"/>
        </w:rPr>
      </w:pPr>
    </w:p>
    <w:p w:rsidR="00FF6093" w:rsidRDefault="00FF6093">
      <w:pPr>
        <w:ind w:firstLineChars="200" w:firstLine="560"/>
        <w:rPr>
          <w:rFonts w:eastAsia="仿宋"/>
          <w:sz w:val="28"/>
          <w:szCs w:val="28"/>
        </w:rPr>
      </w:pPr>
    </w:p>
    <w:p w:rsidR="00FF6093" w:rsidRDefault="00FF6093">
      <w:pPr>
        <w:ind w:right="560" w:firstLineChars="200" w:firstLine="560"/>
        <w:jc w:val="right"/>
        <w:rPr>
          <w:rFonts w:eastAsia="仿宋_GB2312"/>
          <w:sz w:val="28"/>
          <w:szCs w:val="28"/>
        </w:rPr>
      </w:pPr>
    </w:p>
    <w:sectPr w:rsidR="00FF60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532" w:rsidRDefault="00E21532">
      <w:r>
        <w:separator/>
      </w:r>
    </w:p>
  </w:endnote>
  <w:endnote w:type="continuationSeparator" w:id="0">
    <w:p w:rsidR="00E21532" w:rsidRDefault="00E2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811703"/>
    </w:sdtPr>
    <w:sdtEndPr/>
    <w:sdtContent>
      <w:p w:rsidR="00FF6093" w:rsidRDefault="0013525E">
        <w:pPr>
          <w:pStyle w:val="a8"/>
          <w:jc w:val="center"/>
        </w:pPr>
        <w:r>
          <w:fldChar w:fldCharType="begin"/>
        </w:r>
        <w:r>
          <w:instrText>PAGE   \* MERGEFORMAT</w:instrText>
        </w:r>
        <w:r>
          <w:fldChar w:fldCharType="separate"/>
        </w:r>
        <w:r w:rsidR="008D1EF1" w:rsidRPr="008D1EF1">
          <w:rPr>
            <w:noProof/>
            <w:lang w:val="zh-CN"/>
          </w:rPr>
          <w:t>6</w:t>
        </w:r>
        <w:r>
          <w:fldChar w:fldCharType="end"/>
        </w:r>
      </w:p>
    </w:sdtContent>
  </w:sdt>
  <w:p w:rsidR="00FF6093" w:rsidRDefault="00FF60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532" w:rsidRDefault="00E21532">
      <w:r>
        <w:separator/>
      </w:r>
    </w:p>
  </w:footnote>
  <w:footnote w:type="continuationSeparator" w:id="0">
    <w:p w:rsidR="00E21532" w:rsidRDefault="00E215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22D21"/>
    <w:multiLevelType w:val="multilevel"/>
    <w:tmpl w:val="40B22D2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6B"/>
    <w:rsid w:val="00004AC4"/>
    <w:rsid w:val="00017D09"/>
    <w:rsid w:val="00030A77"/>
    <w:rsid w:val="000478DF"/>
    <w:rsid w:val="00061B80"/>
    <w:rsid w:val="000D1799"/>
    <w:rsid w:val="000E2B56"/>
    <w:rsid w:val="000F23B3"/>
    <w:rsid w:val="0013525E"/>
    <w:rsid w:val="001A43A3"/>
    <w:rsid w:val="001B4154"/>
    <w:rsid w:val="001B7581"/>
    <w:rsid w:val="001C00D2"/>
    <w:rsid w:val="001C372B"/>
    <w:rsid w:val="001D19C5"/>
    <w:rsid w:val="002144FD"/>
    <w:rsid w:val="002204EB"/>
    <w:rsid w:val="002273B8"/>
    <w:rsid w:val="00241749"/>
    <w:rsid w:val="002766EE"/>
    <w:rsid w:val="00291DE1"/>
    <w:rsid w:val="002A5713"/>
    <w:rsid w:val="002B77D2"/>
    <w:rsid w:val="002D2C38"/>
    <w:rsid w:val="002F40DA"/>
    <w:rsid w:val="002F5AF1"/>
    <w:rsid w:val="0032411D"/>
    <w:rsid w:val="003403E5"/>
    <w:rsid w:val="003416D9"/>
    <w:rsid w:val="00352A50"/>
    <w:rsid w:val="00364F2E"/>
    <w:rsid w:val="0038434B"/>
    <w:rsid w:val="003E1C9F"/>
    <w:rsid w:val="003E3AFA"/>
    <w:rsid w:val="00410C0E"/>
    <w:rsid w:val="004175EE"/>
    <w:rsid w:val="00452562"/>
    <w:rsid w:val="00457903"/>
    <w:rsid w:val="00477E81"/>
    <w:rsid w:val="004B581F"/>
    <w:rsid w:val="004D155C"/>
    <w:rsid w:val="004F7B0E"/>
    <w:rsid w:val="005004C6"/>
    <w:rsid w:val="00507BB3"/>
    <w:rsid w:val="005131EC"/>
    <w:rsid w:val="0051725C"/>
    <w:rsid w:val="00523883"/>
    <w:rsid w:val="0056075D"/>
    <w:rsid w:val="005A63B4"/>
    <w:rsid w:val="00610750"/>
    <w:rsid w:val="00613854"/>
    <w:rsid w:val="00696F84"/>
    <w:rsid w:val="006B5D56"/>
    <w:rsid w:val="006C6449"/>
    <w:rsid w:val="006E743C"/>
    <w:rsid w:val="0070678C"/>
    <w:rsid w:val="007118B8"/>
    <w:rsid w:val="00753BE6"/>
    <w:rsid w:val="0077110C"/>
    <w:rsid w:val="00775E7B"/>
    <w:rsid w:val="007A276B"/>
    <w:rsid w:val="007D469C"/>
    <w:rsid w:val="00822EE3"/>
    <w:rsid w:val="00824FBC"/>
    <w:rsid w:val="00847DEE"/>
    <w:rsid w:val="00850F48"/>
    <w:rsid w:val="008534A2"/>
    <w:rsid w:val="00863A45"/>
    <w:rsid w:val="00875888"/>
    <w:rsid w:val="008A42F7"/>
    <w:rsid w:val="008C5498"/>
    <w:rsid w:val="008C7694"/>
    <w:rsid w:val="008D1EF1"/>
    <w:rsid w:val="008D3218"/>
    <w:rsid w:val="008F7BAA"/>
    <w:rsid w:val="00911784"/>
    <w:rsid w:val="00915E87"/>
    <w:rsid w:val="00990C1C"/>
    <w:rsid w:val="009B60FB"/>
    <w:rsid w:val="009C30B2"/>
    <w:rsid w:val="009C3559"/>
    <w:rsid w:val="009D7FCF"/>
    <w:rsid w:val="00A15DC6"/>
    <w:rsid w:val="00A560A4"/>
    <w:rsid w:val="00A70D3B"/>
    <w:rsid w:val="00A75E5B"/>
    <w:rsid w:val="00AC1242"/>
    <w:rsid w:val="00AE4FAA"/>
    <w:rsid w:val="00AE6643"/>
    <w:rsid w:val="00B230AE"/>
    <w:rsid w:val="00B27CA0"/>
    <w:rsid w:val="00B71CF2"/>
    <w:rsid w:val="00B7355B"/>
    <w:rsid w:val="00B90A13"/>
    <w:rsid w:val="00BA1309"/>
    <w:rsid w:val="00BB1027"/>
    <w:rsid w:val="00BD6164"/>
    <w:rsid w:val="00BF33B5"/>
    <w:rsid w:val="00BF3B2C"/>
    <w:rsid w:val="00BF6439"/>
    <w:rsid w:val="00C002C7"/>
    <w:rsid w:val="00C1173A"/>
    <w:rsid w:val="00C2580E"/>
    <w:rsid w:val="00C95DFD"/>
    <w:rsid w:val="00CB22E1"/>
    <w:rsid w:val="00CC0587"/>
    <w:rsid w:val="00CC3248"/>
    <w:rsid w:val="00D02031"/>
    <w:rsid w:val="00D158AE"/>
    <w:rsid w:val="00D2210F"/>
    <w:rsid w:val="00D27275"/>
    <w:rsid w:val="00D60C3A"/>
    <w:rsid w:val="00D659A8"/>
    <w:rsid w:val="00D8209A"/>
    <w:rsid w:val="00D866FD"/>
    <w:rsid w:val="00DA11F7"/>
    <w:rsid w:val="00DA35E8"/>
    <w:rsid w:val="00DB5EC7"/>
    <w:rsid w:val="00DC2AC5"/>
    <w:rsid w:val="00DD6BBA"/>
    <w:rsid w:val="00DE3447"/>
    <w:rsid w:val="00DE7C6B"/>
    <w:rsid w:val="00DF095A"/>
    <w:rsid w:val="00DF4AC7"/>
    <w:rsid w:val="00E057F8"/>
    <w:rsid w:val="00E15EB3"/>
    <w:rsid w:val="00E17CBC"/>
    <w:rsid w:val="00E21532"/>
    <w:rsid w:val="00E34D13"/>
    <w:rsid w:val="00E57189"/>
    <w:rsid w:val="00E6201A"/>
    <w:rsid w:val="00EB346B"/>
    <w:rsid w:val="00EB7B60"/>
    <w:rsid w:val="00EC157B"/>
    <w:rsid w:val="00EC1678"/>
    <w:rsid w:val="00F64E7C"/>
    <w:rsid w:val="00F84568"/>
    <w:rsid w:val="00FB5D8F"/>
    <w:rsid w:val="00FD2A2E"/>
    <w:rsid w:val="00FE3BB6"/>
    <w:rsid w:val="00FF274F"/>
    <w:rsid w:val="00FF6093"/>
    <w:rsid w:val="03900A6D"/>
    <w:rsid w:val="0DBD250F"/>
    <w:rsid w:val="10455EA0"/>
    <w:rsid w:val="1E4625AF"/>
    <w:rsid w:val="21ED3BD2"/>
    <w:rsid w:val="2C5F2EB0"/>
    <w:rsid w:val="2D9902F9"/>
    <w:rsid w:val="30E36A90"/>
    <w:rsid w:val="32311965"/>
    <w:rsid w:val="3EA5034F"/>
    <w:rsid w:val="502F6BA7"/>
    <w:rsid w:val="73B9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7EE88-1CBC-4DFD-A3CD-0773A235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qFormat/>
    <w:pPr>
      <w:ind w:firstLineChars="201" w:firstLine="643"/>
    </w:pPr>
    <w:rPr>
      <w:rFonts w:ascii="仿宋_GB2312" w:eastAsia="仿宋_GB2312"/>
      <w:kern w:val="0"/>
      <w:sz w:val="24"/>
    </w:rPr>
  </w:style>
  <w:style w:type="paragraph" w:styleId="a4">
    <w:name w:val="Plain Text"/>
    <w:basedOn w:val="a"/>
    <w:link w:val="a5"/>
    <w:qFormat/>
    <w:pPr>
      <w:spacing w:after="200" w:line="276" w:lineRule="auto"/>
    </w:pPr>
    <w:rPr>
      <w:rFonts w:ascii="宋体" w:hAnsi="Courier New"/>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List Paragraph"/>
    <w:basedOn w:val="a"/>
    <w:uiPriority w:val="34"/>
    <w:qFormat/>
    <w:pPr>
      <w:ind w:firstLineChars="200" w:firstLine="420"/>
    </w:p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Char">
    <w:name w:val="纯文本 Char"/>
    <w:basedOn w:val="a1"/>
    <w:uiPriority w:val="99"/>
    <w:semiHidden/>
    <w:qFormat/>
    <w:rPr>
      <w:rFonts w:ascii="宋体" w:eastAsia="宋体" w:hAnsi="Courier New" w:cs="Courier New"/>
      <w:szCs w:val="21"/>
    </w:rPr>
  </w:style>
  <w:style w:type="character" w:customStyle="1" w:styleId="a5">
    <w:name w:val="纯文本 字符"/>
    <w:basedOn w:val="a1"/>
    <w:link w:val="a4"/>
    <w:qFormat/>
    <w:rPr>
      <w:rFonts w:ascii="宋体" w:eastAsia="宋体" w:hAnsi="Courier New"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姜龙</cp:lastModifiedBy>
  <cp:revision>4</cp:revision>
  <cp:lastPrinted>2019-05-08T01:23:00Z</cp:lastPrinted>
  <dcterms:created xsi:type="dcterms:W3CDTF">2021-08-16T02:56:00Z</dcterms:created>
  <dcterms:modified xsi:type="dcterms:W3CDTF">2021-09-08T09:13:00Z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3BDC06241BD94AE5BE56A7BBF6CE8035</vt:lpwstr>
  </property>
</Properties>
</file>