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 录</w:t>
      </w:r>
    </w:p>
    <w:p>
      <w:pPr>
        <w:spacing w:line="600" w:lineRule="exact"/>
        <w:rPr>
          <w:rFonts w:hint="eastAsia" w:ascii="黑体" w:eastAsia="黑体"/>
          <w:sz w:val="30"/>
          <w:szCs w:val="30"/>
        </w:rPr>
      </w:pPr>
    </w:p>
    <w:p>
      <w:pPr>
        <w:spacing w:line="600" w:lineRule="exact"/>
        <w:rPr>
          <w:rFonts w:hint="eastAsia" w:ascii="黑体" w:hAnsi="MS Serif" w:eastAsia="黑体"/>
          <w:sz w:val="30"/>
          <w:szCs w:val="30"/>
        </w:rPr>
      </w:pPr>
      <w:r>
        <w:rPr>
          <w:rFonts w:hint="eastAsia" w:ascii="黑体" w:hAnsi="MS Serif" w:eastAsia="黑体"/>
          <w:sz w:val="30"/>
          <w:szCs w:val="30"/>
        </w:rPr>
        <w:t>第一部分  概 况</w:t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一、主要职责</w:t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二、机构设置</w:t>
      </w:r>
      <w:r>
        <w:rPr>
          <w:rFonts w:hint="eastAsia" w:ascii="仿宋_GB2312" w:hAnsi="Times New Roman" w:eastAsia="仿宋_GB2312"/>
          <w:sz w:val="30"/>
          <w:szCs w:val="30"/>
        </w:rPr>
        <w:tab/>
      </w:r>
      <w:bookmarkStart w:id="0" w:name="_GoBack"/>
      <w:bookmarkEnd w:id="0"/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黑体" w:hAnsi="MS Serif" w:eastAsia="黑体"/>
          <w:sz w:val="30"/>
          <w:szCs w:val="30"/>
        </w:rPr>
        <w:t>第二部分  2020年度部门决算表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一、《收入支出决算总表》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二、《收入决算表（按功能分类列示）》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三、《收入决算表（按单位列示）》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四、《支出决算表》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五、《财政拨款收入支出决算总表》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六、《一般公共预算财政拨款支出决算表》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七、《一般公共预算财政拨款基本支出决算表》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八、《一般公共预算财政拨款“三公”经费支出决算表》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九、《政府性基金预算财政拨款收入支出决算表》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十、《国有资本经营财政拨款预算支出决算表》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十一、《项目支出决算表》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十二、关于空表的说明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黑体" w:hAnsi="MS Serif" w:eastAsia="黑体"/>
          <w:sz w:val="30"/>
          <w:szCs w:val="30"/>
        </w:rPr>
      </w:pPr>
      <w:r>
        <w:rPr>
          <w:rFonts w:hint="eastAsia" w:ascii="黑体" w:hAnsi="MS Serif" w:eastAsia="黑体"/>
          <w:sz w:val="30"/>
          <w:szCs w:val="30"/>
        </w:rPr>
        <w:t>第三部分  2020年度部门决算情况说明</w:t>
      </w:r>
      <w:r>
        <w:rPr>
          <w:rFonts w:hint="eastAsia" w:ascii="黑体" w:hAnsi="MS Serif" w:eastAsia="黑体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一、收支决算总体情况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二、收入决算情况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三、支出决算情况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四、财政拨款收支决算总体情况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五、一般公共预算财政拨款支出决算情况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六、一般公共预算财政拨款基本支出决算情况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七、政府性基金预算财政拨款收支决算情况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八、一般公共预算财政拨款“三公”经费支出决算情况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九、机关运行经费支出情况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十、政府采购支出情况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十一、国有资产占有使用情况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十二、预算绩效情况说明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十三、国有资本经营预算财政拨款收支决算情况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黑体" w:hAnsi="MS Serif" w:eastAsia="黑体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十四、教育、医疗卫生、社会保障和就业、住房保障、涉农补贴等民生支出情况</w:t>
      </w:r>
      <w:r>
        <w:rPr>
          <w:rFonts w:hint="eastAsia" w:ascii="仿宋_GB2312" w:hAnsi="Times New Roman" w:eastAsia="仿宋_GB2312"/>
          <w:sz w:val="30"/>
          <w:szCs w:val="30"/>
        </w:rPr>
        <w:tab/>
      </w:r>
    </w:p>
    <w:p>
      <w:pPr>
        <w:rPr>
          <w:rFonts w:hint="eastAsia" w:ascii="黑体" w:hAnsi="MS Serif" w:eastAsia="黑体"/>
          <w:sz w:val="30"/>
          <w:szCs w:val="30"/>
        </w:rPr>
      </w:pPr>
      <w:r>
        <w:rPr>
          <w:rFonts w:hint="eastAsia" w:ascii="黑体" w:hAnsi="MS Serif" w:eastAsia="黑体"/>
          <w:sz w:val="30"/>
          <w:szCs w:val="30"/>
        </w:rPr>
        <w:t>第四部分  名词解释</w:t>
      </w:r>
      <w:r>
        <w:rPr>
          <w:rFonts w:hint="eastAsia" w:ascii="黑体" w:hAnsi="MS Serif" w:eastAsia="黑体"/>
          <w:sz w:val="30"/>
          <w:szCs w:val="30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DFlOTdhY2MwNzFhODFkN2U0NmFhMWFkMjFlMWQifQ=="/>
  </w:docVars>
  <w:rsids>
    <w:rsidRoot w:val="6B1E37A1"/>
    <w:rsid w:val="6B1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adjustRightInd/>
      <w:spacing w:after="100" w:line="276" w:lineRule="auto"/>
      <w:ind w:left="220"/>
      <w:textAlignment w:val="auto"/>
    </w:pPr>
    <w:rPr>
      <w:rFonts w:ascii="Calibri" w:hAnsi="Calibri" w:eastAsia="宋体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2022-08-29T07:41:00Z</dcterms:created>
  <dc:creator>Administrator</dc:creator>
  <cp:lastModifiedBy>Administrator</cp:lastModifiedBy>
  <dcterms:modified xsi:type="dcterms:W3CDTF">2022-08-29T07:44:00Z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D37B913C2D0E433F915E781095F64C13</vt:lpwstr>
  </property>
</Properties>
</file>