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黑体"/>
          <w:w w:val="95"/>
          <w:sz w:val="32"/>
          <w:szCs w:val="32"/>
        </w:rPr>
      </w:pPr>
      <w:r>
        <w:rPr>
          <w:rFonts w:eastAsia="黑体"/>
          <w:w w:val="95"/>
          <w:sz w:val="32"/>
          <w:szCs w:val="32"/>
        </w:rPr>
        <w:t>附件</w:t>
      </w:r>
      <w:r>
        <w:rPr>
          <w:rFonts w:hint="eastAsia" w:ascii="黑体" w:hAnsi="黑体" w:eastAsia="黑体" w:cs="黑体"/>
          <w:w w:val="95"/>
          <w:sz w:val="32"/>
          <w:szCs w:val="32"/>
        </w:rPr>
        <w:t>2</w:t>
      </w:r>
    </w:p>
    <w:p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天津市北辰区人民政府青源街道办事处</w:t>
      </w:r>
      <w:r>
        <w:rPr>
          <w:rFonts w:hint="eastAsia" w:ascii="黑体" w:hAnsi="黑体" w:eastAsia="黑体" w:cs="黑体"/>
          <w:w w:val="95"/>
          <w:sz w:val="44"/>
          <w:szCs w:val="44"/>
          <w:lang w:val="en-US" w:eastAsia="zh-CN"/>
        </w:rPr>
        <w:t>2020</w:t>
      </w:r>
      <w:r>
        <w:rPr>
          <w:rFonts w:eastAsia="黑体"/>
          <w:w w:val="95"/>
          <w:sz w:val="44"/>
          <w:szCs w:val="44"/>
        </w:rPr>
        <w:t>年部门预算编制说明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</w:p>
    <w:p>
      <w:pPr>
        <w:spacing w:line="5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第一部分    天津市北辰区</w:t>
      </w:r>
      <w:r>
        <w:rPr>
          <w:rFonts w:hint="eastAsia" w:ascii="黑体" w:eastAsia="黑体"/>
          <w:sz w:val="30"/>
          <w:szCs w:val="30"/>
          <w:lang w:eastAsia="zh-CN"/>
        </w:rPr>
        <w:t>人民政府青源街道办事处</w:t>
      </w:r>
      <w:r>
        <w:rPr>
          <w:rFonts w:hint="eastAsia" w:ascii="黑体" w:eastAsia="黑体"/>
          <w:sz w:val="30"/>
          <w:szCs w:val="30"/>
        </w:rPr>
        <w:t>概况</w:t>
      </w:r>
    </w:p>
    <w:p>
      <w:pPr>
        <w:spacing w:line="600" w:lineRule="exact"/>
        <w:rPr>
          <w:rFonts w:eastAsia="黑体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1、贯彻执行法律、法规、规章和市、区人民政府的决定、指示；制定街道、社区全面发展建设规划并组织实施。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2、促进区域经济发展，加快转变发展方式，培育主导产业，推动产业结构调整，提高经济发展的质量和水平，扩宽就业渠道，增加居民收入。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3、搞好城市管理，开展爱国卫生、市容卫生、环境保护工作，绿化美化居民生活环境；参与城市建设、居住小区管理工作。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4、指导社区自治组织工作，促进社区居民委员会建设，充分发挥社区居委会自治作用，推进街道行政管理与居民自治的有效衔接和良性互动。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5、开展社区救济和拥军优属、民兵预备役、征兵工作；维护老年人、未成年人、妇女、残疾人和归侨、侨眷、少数民族等的合法权益。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6、开展计划生育、群众文化、科普、体育和社区教育、卫生工作；加强社区服务，繁荣社区文化，建设和谐社区。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加强社会管理，制定本辖区社会管理综合治理规划并组织落实；做好群众来信来访工作，健全基层利益协调和纠纷调处机制，及时化解矛盾，维护社会公平正义，确保社会稳定；推进依法行政，维护经济社会秩序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8、完成区政府交办的其他任务。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北辰区人民政府青源街道办事处</w:t>
      </w:r>
      <w:r>
        <w:rPr>
          <w:rFonts w:eastAsia="仿宋_GB2312"/>
          <w:sz w:val="30"/>
          <w:szCs w:val="30"/>
        </w:rPr>
        <w:t>内设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>11</w:t>
      </w:r>
      <w:r>
        <w:rPr>
          <w:rFonts w:eastAsia="仿宋_GB2312"/>
          <w:sz w:val="30"/>
          <w:szCs w:val="30"/>
        </w:rPr>
        <w:t>个职能处室；</w:t>
      </w:r>
      <w:r>
        <w:rPr>
          <w:rFonts w:hint="eastAsia" w:ascii="仿宋" w:hAnsi="仿宋" w:eastAsia="仿宋" w:cs="仿宋_GB2312"/>
          <w:sz w:val="30"/>
          <w:szCs w:val="30"/>
          <w:u w:val="none"/>
          <w:lang w:val="en-US" w:eastAsia="zh-CN"/>
        </w:rPr>
        <w:t>下辖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 xml:space="preserve">0 </w:t>
      </w:r>
      <w:r>
        <w:rPr>
          <w:rFonts w:eastAsia="仿宋_GB2312"/>
          <w:sz w:val="30"/>
          <w:szCs w:val="30"/>
        </w:rPr>
        <w:t>个预算单位</w:t>
      </w:r>
      <w:r>
        <w:rPr>
          <w:rFonts w:hint="eastAsia" w:eastAsia="仿宋_GB2312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_GB2312"/>
          <w:sz w:val="30"/>
          <w:szCs w:val="30"/>
        </w:rPr>
        <w:t>年末实有人员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>64</w:t>
      </w:r>
      <w:r>
        <w:rPr>
          <w:rFonts w:hint="eastAsia" w:ascii="仿宋" w:hAnsi="仿宋" w:eastAsia="仿宋" w:cs="仿宋_GB2312"/>
          <w:sz w:val="30"/>
          <w:szCs w:val="30"/>
        </w:rPr>
        <w:t>人，其中:在职人员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>63</w:t>
      </w:r>
      <w:r>
        <w:rPr>
          <w:rFonts w:hint="eastAsia" w:ascii="仿宋" w:hAnsi="仿宋" w:eastAsia="仿宋" w:cs="仿宋_GB2312"/>
          <w:sz w:val="30"/>
          <w:szCs w:val="30"/>
        </w:rPr>
        <w:t>人，离休人员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</w:rPr>
        <w:t>人，退休人员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</w:rPr>
        <w:t>人。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第二部分  天津市北辰区</w:t>
      </w:r>
      <w:r>
        <w:rPr>
          <w:rFonts w:hint="eastAsia" w:ascii="黑体" w:eastAsia="黑体"/>
          <w:sz w:val="30"/>
          <w:szCs w:val="30"/>
          <w:lang w:eastAsia="zh-CN"/>
        </w:rPr>
        <w:t>人民政府青源街道办事处</w:t>
      </w:r>
      <w:r>
        <w:rPr>
          <w:rFonts w:hint="eastAsia" w:ascii="黑体" w:eastAsia="黑体"/>
          <w:sz w:val="30"/>
          <w:szCs w:val="30"/>
        </w:rPr>
        <w:t>20</w:t>
      </w:r>
      <w:r>
        <w:rPr>
          <w:rFonts w:ascii="黑体" w:eastAsia="黑体"/>
          <w:sz w:val="30"/>
          <w:szCs w:val="30"/>
        </w:rPr>
        <w:t>20</w:t>
      </w:r>
      <w:r>
        <w:rPr>
          <w:rFonts w:hint="eastAsia" w:ascii="黑体" w:eastAsia="黑体"/>
          <w:sz w:val="30"/>
          <w:szCs w:val="30"/>
        </w:rPr>
        <w:t>年度部门预算情况说明</w:t>
      </w:r>
    </w:p>
    <w:p>
      <w:pPr>
        <w:spacing w:line="580" w:lineRule="exact"/>
        <w:ind w:firstLine="600" w:firstLineChars="200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一、关于天津市北辰区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2020年度部门预算收入情况说明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天津市北辰区</w:t>
      </w:r>
      <w:r>
        <w:rPr>
          <w:rFonts w:hint="eastAsia" w:ascii="仿宋" w:hAnsi="仿宋" w:eastAsia="仿宋"/>
          <w:sz w:val="30"/>
          <w:szCs w:val="30"/>
          <w:lang w:eastAsia="zh-CN"/>
        </w:rPr>
        <w:t>人民政府青源街道办事处</w:t>
      </w:r>
      <w:r>
        <w:rPr>
          <w:rFonts w:hint="eastAsia" w:ascii="仿宋" w:hAnsi="仿宋" w:eastAsia="仿宋"/>
          <w:sz w:val="30"/>
          <w:szCs w:val="30"/>
        </w:rPr>
        <w:t>2020年度</w:t>
      </w:r>
      <w:r>
        <w:rPr>
          <w:rFonts w:eastAsia="仿宋_GB2312"/>
          <w:sz w:val="30"/>
          <w:szCs w:val="30"/>
        </w:rPr>
        <w:t>部门收入预算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2594.78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ascii="仿宋" w:hAnsi="仿宋" w:eastAsia="仿宋"/>
          <w:sz w:val="30"/>
          <w:szCs w:val="30"/>
          <w:u w:val="none"/>
        </w:rPr>
        <w:t>2019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717.89 </w:t>
      </w:r>
      <w:r>
        <w:rPr>
          <w:rFonts w:eastAsia="仿宋_GB2312"/>
          <w:sz w:val="30"/>
          <w:szCs w:val="30"/>
        </w:rPr>
        <w:t>万元。其中</w:t>
      </w:r>
      <w:r>
        <w:rPr>
          <w:rFonts w:hint="eastAsia" w:eastAsia="仿宋_GB2312"/>
          <w:sz w:val="30"/>
          <w:szCs w:val="30"/>
          <w:lang w:eastAsia="zh-CN"/>
        </w:rPr>
        <w:t>：</w:t>
      </w:r>
      <w:r>
        <w:rPr>
          <w:rFonts w:hint="eastAsia" w:eastAsia="仿宋_GB2312"/>
          <w:sz w:val="30"/>
          <w:szCs w:val="30"/>
        </w:rPr>
        <w:t>财政拨款预算收入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2594.78 </w:t>
      </w:r>
      <w:r>
        <w:rPr>
          <w:rFonts w:eastAsia="仿宋_GB2312"/>
          <w:sz w:val="30"/>
          <w:szCs w:val="30"/>
        </w:rPr>
        <w:t>万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eastAsia="仿宋_GB2312"/>
          <w:sz w:val="30"/>
          <w:szCs w:val="30"/>
        </w:rPr>
        <w:t>元</w:t>
      </w:r>
      <w:r>
        <w:rPr>
          <w:rFonts w:hint="eastAsia" w:ascii="仿宋" w:hAnsi="仿宋" w:eastAsia="仿宋"/>
          <w:sz w:val="30"/>
          <w:szCs w:val="30"/>
        </w:rPr>
        <w:t>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100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%；事业收入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%；事业单位经营收入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%；其他收入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%。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二、关于天津市北辰区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2020年度部门预算支出情况说明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天津市</w:t>
      </w:r>
      <w:r>
        <w:rPr>
          <w:rFonts w:hint="eastAsia" w:ascii="仿宋" w:hAnsi="仿宋" w:eastAsia="仿宋"/>
          <w:sz w:val="30"/>
          <w:szCs w:val="30"/>
          <w:lang w:eastAsia="zh-CN"/>
        </w:rPr>
        <w:t>北辰区人民政府青源街道办事处</w:t>
      </w:r>
      <w:r>
        <w:rPr>
          <w:rFonts w:hint="eastAsia" w:ascii="仿宋" w:hAnsi="仿宋" w:eastAsia="仿宋"/>
          <w:sz w:val="30"/>
          <w:szCs w:val="30"/>
        </w:rPr>
        <w:t>2020年度</w:t>
      </w:r>
      <w:r>
        <w:rPr>
          <w:rFonts w:eastAsia="仿宋_GB2312"/>
          <w:sz w:val="30"/>
          <w:szCs w:val="30"/>
        </w:rPr>
        <w:t>部门支出预算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2594.78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ascii="仿宋" w:hAnsi="仿宋" w:eastAsia="仿宋"/>
          <w:sz w:val="30"/>
          <w:szCs w:val="30"/>
          <w:u w:val="single"/>
        </w:rPr>
        <w:t>2019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717.89 </w:t>
      </w:r>
      <w:r>
        <w:rPr>
          <w:rFonts w:eastAsia="仿宋_GB2312"/>
          <w:sz w:val="30"/>
          <w:szCs w:val="30"/>
        </w:rPr>
        <w:t>万元，</w:t>
      </w:r>
      <w:r>
        <w:rPr>
          <w:rFonts w:hint="eastAsia" w:ascii="仿宋" w:hAnsi="仿宋" w:eastAsia="仿宋"/>
          <w:sz w:val="30"/>
          <w:szCs w:val="30"/>
        </w:rPr>
        <w:t>其中：基本支出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136.95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52.78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%；项目支出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1225.27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47.22</w:t>
      </w:r>
      <w:r>
        <w:rPr>
          <w:rFonts w:hint="eastAsia" w:ascii="仿宋" w:hAnsi="仿宋" w:eastAsia="仿宋"/>
          <w:sz w:val="30"/>
          <w:szCs w:val="30"/>
        </w:rPr>
        <w:t>%；上缴上级支出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%；对附属单位补助支出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%；事业单位经营支出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%。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三、关于天津市北辰区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2020年度部门预算一般公共预算财政拨款支出情况说明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天津市北辰区</w:t>
      </w:r>
      <w:r>
        <w:rPr>
          <w:rFonts w:hint="eastAsia" w:ascii="仿宋" w:hAnsi="仿宋" w:eastAsia="仿宋"/>
          <w:sz w:val="30"/>
          <w:szCs w:val="30"/>
          <w:lang w:eastAsia="zh-CN"/>
        </w:rPr>
        <w:t>人民政府青源街道办事处</w:t>
      </w:r>
      <w:r>
        <w:rPr>
          <w:rFonts w:hint="eastAsia" w:ascii="仿宋" w:hAnsi="仿宋" w:eastAsia="仿宋"/>
          <w:sz w:val="30"/>
          <w:szCs w:val="30"/>
        </w:rPr>
        <w:t>2020年度部门预算一般公共预算财政拨款支出总计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2594.78</w:t>
      </w:r>
      <w:r>
        <w:rPr>
          <w:rFonts w:hint="eastAsia" w:ascii="仿宋" w:hAnsi="仿宋" w:eastAsia="仿宋"/>
          <w:sz w:val="30"/>
          <w:szCs w:val="30"/>
        </w:rPr>
        <w:t>万元，具体情况如下：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420" w:firstLine="0" w:firstLineChars="0"/>
        <w:textAlignment w:val="baseline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1、20103政府办公厅（室）及相关机构事务</w:t>
      </w:r>
      <w:r>
        <w:rPr>
          <w:rFonts w:hint="eastAsia" w:ascii="仿宋" w:hAnsi="仿宋" w:eastAsia="仿宋"/>
          <w:sz w:val="30"/>
          <w:szCs w:val="30"/>
          <w:u w:val="single"/>
        </w:rPr>
        <w:t>1642.30</w:t>
      </w:r>
      <w:r>
        <w:rPr>
          <w:rFonts w:hint="eastAsia" w:ascii="仿宋" w:hAnsi="仿宋" w:eastAsia="仿宋"/>
          <w:sz w:val="30"/>
          <w:szCs w:val="30"/>
        </w:rPr>
        <w:t>万元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2010301行政运行</w:t>
      </w:r>
      <w:r>
        <w:rPr>
          <w:rFonts w:hint="eastAsia" w:ascii="仿宋" w:hAnsi="仿宋" w:eastAsia="仿宋"/>
          <w:sz w:val="30"/>
          <w:szCs w:val="30"/>
          <w:u w:val="single"/>
        </w:rPr>
        <w:t>920.91</w:t>
      </w:r>
      <w:r>
        <w:rPr>
          <w:rFonts w:hint="eastAsia" w:ascii="仿宋" w:hAnsi="仿宋" w:eastAsia="仿宋"/>
          <w:sz w:val="30"/>
          <w:szCs w:val="30"/>
        </w:rPr>
        <w:t>万元，主要用于：街道本级行政人员经费和办公经费。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2010302一般行政管理事务支出预算</w:t>
      </w:r>
      <w:r>
        <w:rPr>
          <w:rFonts w:hint="eastAsia" w:ascii="仿宋" w:hAnsi="仿宋" w:eastAsia="仿宋"/>
          <w:sz w:val="30"/>
          <w:szCs w:val="30"/>
          <w:u w:val="single"/>
        </w:rPr>
        <w:t>339.79</w:t>
      </w:r>
      <w:r>
        <w:rPr>
          <w:rFonts w:hint="eastAsia" w:ascii="仿宋" w:hAnsi="仿宋" w:eastAsia="仿宋"/>
          <w:sz w:val="30"/>
          <w:szCs w:val="30"/>
        </w:rPr>
        <w:t>万元，主要用于道路苫盖、经济工作经费、市容项目经费、就业推动会、应急物资、街道综治维稳费用、文化体育活动及建设等项目支出。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2010350事业运行支出预算</w:t>
      </w:r>
      <w:r>
        <w:rPr>
          <w:rFonts w:hint="eastAsia" w:ascii="仿宋" w:hAnsi="仿宋" w:eastAsia="仿宋"/>
          <w:sz w:val="30"/>
          <w:szCs w:val="30"/>
          <w:u w:val="single"/>
        </w:rPr>
        <w:t>381.60</w:t>
      </w:r>
      <w:r>
        <w:rPr>
          <w:rFonts w:hint="eastAsia" w:ascii="仿宋" w:hAnsi="仿宋" w:eastAsia="仿宋"/>
          <w:sz w:val="30"/>
          <w:szCs w:val="30"/>
        </w:rPr>
        <w:t>万元，主要用于综合服务中心人员经费和办公经费。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2、20802民政管理事务</w:t>
      </w:r>
      <w:r>
        <w:rPr>
          <w:rFonts w:hint="eastAsia" w:ascii="仿宋" w:hAnsi="仿宋" w:eastAsia="仿宋"/>
          <w:sz w:val="30"/>
          <w:szCs w:val="30"/>
          <w:u w:val="single"/>
        </w:rPr>
        <w:t>680.83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20802</w:t>
      </w:r>
      <w:r>
        <w:rPr>
          <w:rFonts w:hint="eastAsia" w:ascii="仿宋" w:hAnsi="仿宋" w:eastAsia="仿宋"/>
          <w:sz w:val="30"/>
          <w:szCs w:val="30"/>
        </w:rPr>
        <w:t>08基层政权和社区建设支出预算</w:t>
      </w:r>
      <w:r>
        <w:rPr>
          <w:rFonts w:hint="eastAsia" w:ascii="仿宋" w:hAnsi="仿宋" w:eastAsia="仿宋"/>
          <w:sz w:val="30"/>
          <w:szCs w:val="30"/>
          <w:u w:val="single"/>
        </w:rPr>
        <w:t>680.83</w:t>
      </w:r>
      <w:r>
        <w:rPr>
          <w:rFonts w:hint="eastAsia" w:ascii="仿宋" w:hAnsi="仿宋" w:eastAsia="仿宋"/>
          <w:sz w:val="30"/>
          <w:szCs w:val="30"/>
        </w:rPr>
        <w:t>万元，主要用于社区居委会取暖费、居委会办公家具、社区工作者培训费、社区工作经费等。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3、20828退役军人管理事务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9.5</w:t>
      </w:r>
      <w:r>
        <w:rPr>
          <w:rFonts w:hint="eastAsia" w:ascii="仿宋" w:hAnsi="仿宋" w:eastAsia="仿宋"/>
          <w:sz w:val="30"/>
          <w:szCs w:val="30"/>
        </w:rPr>
        <w:t>万元，其中: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2082802一般行政管理事务</w:t>
      </w:r>
      <w:r>
        <w:rPr>
          <w:rFonts w:hint="eastAsia" w:ascii="仿宋" w:hAnsi="仿宋" w:eastAsia="仿宋"/>
          <w:sz w:val="30"/>
          <w:szCs w:val="30"/>
          <w:u w:val="single"/>
        </w:rPr>
        <w:t>9.5</w:t>
      </w:r>
      <w:r>
        <w:rPr>
          <w:rFonts w:hint="eastAsia" w:ascii="仿宋" w:hAnsi="仿宋" w:eastAsia="仿宋"/>
          <w:sz w:val="30"/>
          <w:szCs w:val="30"/>
        </w:rPr>
        <w:t>万元，主要用于退役军人服务站活动经费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4、21011行政事业单位医疗</w:t>
      </w:r>
      <w:r>
        <w:rPr>
          <w:rFonts w:hint="eastAsia" w:ascii="仿宋" w:hAnsi="仿宋" w:eastAsia="仿宋"/>
          <w:sz w:val="30"/>
          <w:szCs w:val="30"/>
          <w:u w:val="single"/>
        </w:rPr>
        <w:t>67.00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2101101行政单位医疗支出预算</w:t>
      </w:r>
      <w:r>
        <w:rPr>
          <w:rFonts w:hint="eastAsia" w:ascii="仿宋" w:hAnsi="仿宋" w:eastAsia="仿宋"/>
          <w:sz w:val="30"/>
          <w:szCs w:val="30"/>
          <w:u w:val="single"/>
        </w:rPr>
        <w:t>37.04</w:t>
      </w:r>
      <w:r>
        <w:rPr>
          <w:rFonts w:hint="eastAsia" w:ascii="仿宋" w:hAnsi="仿宋" w:eastAsia="仿宋"/>
          <w:sz w:val="30"/>
          <w:szCs w:val="30"/>
        </w:rPr>
        <w:t>万元，主要用于行政人员基本医疗保险。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2101102事业单位医疗支出预算</w:t>
      </w:r>
      <w:r>
        <w:rPr>
          <w:rFonts w:hint="eastAsia" w:ascii="仿宋" w:hAnsi="仿宋" w:eastAsia="仿宋"/>
          <w:sz w:val="30"/>
          <w:szCs w:val="30"/>
          <w:u w:val="single"/>
        </w:rPr>
        <w:t>13.38</w:t>
      </w:r>
      <w:r>
        <w:rPr>
          <w:rFonts w:hint="eastAsia" w:ascii="仿宋" w:hAnsi="仿宋" w:eastAsia="仿宋"/>
          <w:sz w:val="30"/>
          <w:szCs w:val="30"/>
        </w:rPr>
        <w:t>万元，主要用于事业人员基本医疗保险。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2101103公务员医疗补助支出预算</w:t>
      </w:r>
      <w:r>
        <w:rPr>
          <w:rFonts w:hint="eastAsia" w:ascii="仿宋" w:hAnsi="仿宋" w:eastAsia="仿宋"/>
          <w:sz w:val="30"/>
          <w:szCs w:val="30"/>
          <w:u w:val="single"/>
        </w:rPr>
        <w:t>16.58</w:t>
      </w:r>
      <w:r>
        <w:rPr>
          <w:rFonts w:hint="eastAsia" w:ascii="仿宋" w:hAnsi="仿宋" w:eastAsia="仿宋"/>
          <w:sz w:val="30"/>
          <w:szCs w:val="30"/>
        </w:rPr>
        <w:t>万元，主要用于公务员医疗补助经费。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5、21103污染防治</w:t>
      </w:r>
      <w:r>
        <w:rPr>
          <w:rFonts w:hint="eastAsia" w:ascii="仿宋" w:hAnsi="仿宋" w:eastAsia="仿宋"/>
          <w:sz w:val="30"/>
          <w:szCs w:val="30"/>
          <w:u w:val="single"/>
        </w:rPr>
        <w:t>34.55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2110301排污费安排的支出预算</w:t>
      </w:r>
      <w:r>
        <w:rPr>
          <w:rFonts w:hint="eastAsia" w:ascii="仿宋" w:hAnsi="仿宋" w:eastAsia="仿宋"/>
          <w:sz w:val="30"/>
          <w:szCs w:val="30"/>
          <w:u w:val="single"/>
        </w:rPr>
        <w:t>34.55</w:t>
      </w:r>
      <w:r>
        <w:rPr>
          <w:rFonts w:hint="eastAsia" w:ascii="仿宋" w:hAnsi="仿宋" w:eastAsia="仿宋"/>
          <w:sz w:val="30"/>
          <w:szCs w:val="30"/>
        </w:rPr>
        <w:t>万元，主要用于大气网格员工资支出。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6、21201城乡社区管理事务</w:t>
      </w:r>
      <w:r>
        <w:rPr>
          <w:rFonts w:hint="eastAsia" w:ascii="仿宋" w:hAnsi="仿宋" w:eastAsia="仿宋"/>
          <w:sz w:val="30"/>
          <w:szCs w:val="30"/>
          <w:u w:val="single"/>
        </w:rPr>
        <w:t>8.20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2120104城管执法支出预算</w:t>
      </w:r>
      <w:r>
        <w:rPr>
          <w:rFonts w:hint="eastAsia" w:ascii="仿宋" w:hAnsi="仿宋" w:eastAsia="仿宋"/>
          <w:sz w:val="30"/>
          <w:szCs w:val="30"/>
          <w:u w:val="single"/>
        </w:rPr>
        <w:t>8.20</w:t>
      </w:r>
      <w:r>
        <w:rPr>
          <w:rFonts w:hint="eastAsia" w:ascii="仿宋" w:hAnsi="仿宋" w:eastAsia="仿宋"/>
          <w:sz w:val="30"/>
          <w:szCs w:val="30"/>
        </w:rPr>
        <w:t>万元，主要用于城管执法人员经费、办公经费、执法队设备购置、执法队服装费等支出。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7、22401应急管理</w:t>
      </w:r>
      <w:r>
        <w:rPr>
          <w:rFonts w:hint="eastAsia" w:ascii="仿宋" w:hAnsi="仿宋" w:eastAsia="仿宋"/>
          <w:sz w:val="30"/>
          <w:szCs w:val="30"/>
          <w:lang w:eastAsia="zh-CN"/>
        </w:rPr>
        <w:t>事务</w:t>
      </w:r>
      <w:r>
        <w:rPr>
          <w:rFonts w:hint="eastAsia" w:ascii="仿宋" w:hAnsi="仿宋" w:eastAsia="仿宋"/>
          <w:sz w:val="30"/>
          <w:szCs w:val="30"/>
        </w:rPr>
        <w:t>152.4万元，其中：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2240106安全监管</w:t>
      </w:r>
      <w:r>
        <w:rPr>
          <w:rFonts w:hint="eastAsia" w:ascii="仿宋" w:hAnsi="仿宋" w:eastAsia="仿宋"/>
          <w:sz w:val="30"/>
          <w:szCs w:val="30"/>
          <w:u w:val="single"/>
        </w:rPr>
        <w:t>152.4</w:t>
      </w:r>
      <w:r>
        <w:rPr>
          <w:rFonts w:hint="eastAsia" w:ascii="仿宋" w:hAnsi="仿宋" w:eastAsia="仿宋"/>
          <w:sz w:val="30"/>
          <w:szCs w:val="30"/>
        </w:rPr>
        <w:t>万元，主要用于安全工作经费支出。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四、关于天津市北辰区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2020年度部门预算一般公共预算财政拨款基本支出情况说明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天津市北辰区</w:t>
      </w:r>
      <w:r>
        <w:rPr>
          <w:rFonts w:hint="eastAsia" w:ascii="仿宋" w:hAnsi="仿宋" w:eastAsia="仿宋"/>
          <w:sz w:val="30"/>
          <w:szCs w:val="30"/>
          <w:lang w:eastAsia="zh-CN"/>
        </w:rPr>
        <w:t>人民政府青源街道办事处</w:t>
      </w:r>
      <w:r>
        <w:rPr>
          <w:rFonts w:hint="eastAsia" w:ascii="仿宋" w:hAnsi="仿宋" w:eastAsia="仿宋"/>
          <w:sz w:val="30"/>
          <w:szCs w:val="30"/>
        </w:rPr>
        <w:t>2020年度部门预算一般公共预算财政拨款基本支出总计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1369.51</w:t>
      </w:r>
      <w:r>
        <w:rPr>
          <w:rFonts w:hint="eastAsia" w:ascii="仿宋" w:hAnsi="仿宋" w:eastAsia="仿宋"/>
          <w:sz w:val="30"/>
          <w:szCs w:val="30"/>
        </w:rPr>
        <w:t>万元，具体情况如下：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1、“工资福利支出”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1213.17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“基本工资”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214.56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万元，主要用于：</w:t>
      </w:r>
      <w:r>
        <w:rPr>
          <w:rFonts w:hint="eastAsia" w:ascii="仿宋" w:hAnsi="仿宋" w:eastAsia="仿宋"/>
          <w:sz w:val="30"/>
          <w:szCs w:val="30"/>
          <w:lang w:eastAsia="zh-CN"/>
        </w:rPr>
        <w:t>发放基本工资。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“</w:t>
      </w:r>
      <w:r>
        <w:rPr>
          <w:rFonts w:hint="eastAsia" w:ascii="仿宋" w:hAnsi="仿宋" w:eastAsia="仿宋"/>
          <w:sz w:val="30"/>
          <w:szCs w:val="30"/>
          <w:lang w:eastAsia="zh-CN"/>
        </w:rPr>
        <w:t>津贴补贴</w:t>
      </w:r>
      <w:r>
        <w:rPr>
          <w:rFonts w:hint="eastAsia" w:ascii="仿宋" w:hAnsi="仿宋" w:eastAsia="仿宋"/>
          <w:sz w:val="30"/>
          <w:szCs w:val="30"/>
        </w:rPr>
        <w:t>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340.90</w:t>
      </w:r>
      <w:r>
        <w:rPr>
          <w:rFonts w:hint="eastAsia" w:ascii="仿宋" w:hAnsi="仿宋" w:eastAsia="仿宋"/>
          <w:sz w:val="30"/>
          <w:szCs w:val="30"/>
        </w:rPr>
        <w:t>万元，主要用于：</w:t>
      </w:r>
      <w:r>
        <w:rPr>
          <w:rFonts w:hint="eastAsia" w:ascii="仿宋" w:hAnsi="仿宋" w:eastAsia="仿宋"/>
          <w:sz w:val="30"/>
          <w:szCs w:val="30"/>
          <w:lang w:eastAsia="zh-CN"/>
        </w:rPr>
        <w:t>发放津贴补贴。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“绩效工资”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95.97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万元，主要用于：发放绩效工资。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“机关事业单位基本养老保险缴费”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76.83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万元，主要用于：缴纳</w:t>
      </w:r>
      <w:r>
        <w:rPr>
          <w:rFonts w:hint="eastAsia" w:ascii="仿宋" w:hAnsi="仿宋" w:eastAsia="仿宋"/>
          <w:sz w:val="30"/>
          <w:szCs w:val="30"/>
          <w:lang w:eastAsia="zh-CN"/>
        </w:rPr>
        <w:t>机关事业单位基本养老保险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“职业年金缴费”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38.42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万元，主要用于：缴纳职业年金。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“职工基本医疗保险缴费”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50.42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万元，主要用于：缴纳</w:t>
      </w:r>
      <w:r>
        <w:rPr>
          <w:rFonts w:hint="eastAsia" w:ascii="仿宋" w:hAnsi="仿宋" w:eastAsia="仿宋"/>
          <w:sz w:val="30"/>
          <w:szCs w:val="30"/>
          <w:lang w:eastAsia="zh-CN"/>
        </w:rPr>
        <w:t>职工基本医疗保险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“公务员医疗补助缴费”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14.11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万元，主要用于：缴纳公务员医疗补助。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“其他社会保障缴费”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1.29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万元，主要用于：缴纳其他社会保障。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“住房公积金”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331.26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万元，主要用于：缴纳</w:t>
      </w:r>
      <w:r>
        <w:rPr>
          <w:rFonts w:hint="eastAsia" w:ascii="仿宋" w:hAnsi="仿宋" w:eastAsia="仿宋"/>
          <w:sz w:val="30"/>
          <w:szCs w:val="30"/>
          <w:lang w:eastAsia="zh-CN"/>
        </w:rPr>
        <w:t>住房公积金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“医疗费”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2.47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万元，主要用于：发放医疗费。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“其他工资福利支出”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46.94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万元，主要用于：发放</w:t>
      </w:r>
      <w:r>
        <w:rPr>
          <w:rFonts w:hint="eastAsia" w:ascii="仿宋" w:hAnsi="仿宋" w:eastAsia="仿宋"/>
          <w:sz w:val="30"/>
          <w:szCs w:val="30"/>
          <w:lang w:eastAsia="zh-CN"/>
        </w:rPr>
        <w:t>其他工资福利支出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“对个人和家庭的补助”0.58万元，其中：</w:t>
      </w:r>
    </w:p>
    <w:p>
      <w:pPr>
        <w:numPr>
          <w:numId w:val="0"/>
        </w:numPr>
        <w:spacing w:line="580" w:lineRule="exact"/>
        <w:ind w:firstLine="6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“退休费”0.52万元，主要用于：发放退休费。</w:t>
      </w:r>
    </w:p>
    <w:p>
      <w:pPr>
        <w:numPr>
          <w:numId w:val="0"/>
        </w:numPr>
        <w:spacing w:line="580" w:lineRule="exact"/>
        <w:ind w:firstLine="6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“奖励金”0.06万元，主要用于：发放奖励金。</w:t>
      </w:r>
    </w:p>
    <w:p>
      <w:pPr>
        <w:numPr>
          <w:ilvl w:val="0"/>
          <w:numId w:val="1"/>
        </w:numPr>
        <w:spacing w:line="580" w:lineRule="exact"/>
        <w:ind w:left="0" w:leftChars="0"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“商品和服务支出”155.76万元，其中：</w:t>
      </w:r>
    </w:p>
    <w:p>
      <w:pPr>
        <w:numPr>
          <w:numId w:val="0"/>
        </w:numPr>
        <w:spacing w:line="580" w:lineRule="exact"/>
        <w:ind w:left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“办公费”98.34万元，主要用于：日常办公经费。</w:t>
      </w:r>
    </w:p>
    <w:p>
      <w:pPr>
        <w:numPr>
          <w:numId w:val="0"/>
        </w:num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“培训费”3.22万元，主要用于：职工培训。</w:t>
      </w:r>
    </w:p>
    <w:p>
      <w:pPr>
        <w:numPr>
          <w:numId w:val="0"/>
        </w:num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“工会经费”11.94万元，主要用于：提取工会经费。</w:t>
      </w:r>
    </w:p>
    <w:p>
      <w:pPr>
        <w:numPr>
          <w:numId w:val="0"/>
        </w:num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“福利费”9.15万元，主要用于：职工福利。</w:t>
      </w:r>
    </w:p>
    <w:p>
      <w:pPr>
        <w:numPr>
          <w:numId w:val="0"/>
        </w:num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“其他交通费用”33万元，主要用于：发放公务交通补贴。</w:t>
      </w:r>
    </w:p>
    <w:p>
      <w:pPr>
        <w:numPr>
          <w:numId w:val="0"/>
        </w:numPr>
        <w:spacing w:line="58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“其他商品服务支出”0.11万元，主要用于：其他商品和服务支出。</w:t>
      </w:r>
    </w:p>
    <w:p>
      <w:pPr>
        <w:spacing w:line="580" w:lineRule="exact"/>
        <w:ind w:firstLine="6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五、关于天津市北辰区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2020年度机关运行经费预算数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hint="eastAsia" w:ascii="仿宋" w:hAnsi="仿宋" w:eastAsia="仿宋"/>
          <w:sz w:val="30"/>
          <w:szCs w:val="30"/>
          <w:u w:val="none"/>
        </w:rPr>
        <w:t>2020年</w:t>
      </w:r>
      <w:r>
        <w:rPr>
          <w:rFonts w:eastAsia="仿宋_GB2312"/>
          <w:sz w:val="30"/>
          <w:szCs w:val="30"/>
        </w:rPr>
        <w:t>安排机关运行经费预算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155.76  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hint="eastAsia" w:ascii="仿宋" w:hAnsi="仿宋" w:eastAsia="仿宋"/>
          <w:sz w:val="30"/>
          <w:szCs w:val="30"/>
          <w:u w:val="single"/>
        </w:rPr>
        <w:t>98.34</w:t>
      </w:r>
      <w:r>
        <w:rPr>
          <w:rFonts w:eastAsia="仿宋_GB2312"/>
          <w:sz w:val="30"/>
          <w:szCs w:val="30"/>
        </w:rPr>
        <w:t>万元、福利费</w:t>
      </w:r>
      <w:r>
        <w:rPr>
          <w:rFonts w:hint="eastAsia" w:ascii="仿宋" w:hAnsi="仿宋" w:eastAsia="仿宋"/>
          <w:sz w:val="30"/>
          <w:szCs w:val="30"/>
          <w:u w:val="single"/>
        </w:rPr>
        <w:t>9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.15</w:t>
      </w:r>
      <w:r>
        <w:rPr>
          <w:rFonts w:eastAsia="仿宋_GB2312"/>
          <w:sz w:val="30"/>
          <w:szCs w:val="30"/>
        </w:rPr>
        <w:t>万元、工会经费</w:t>
      </w:r>
      <w:r>
        <w:rPr>
          <w:rFonts w:hint="eastAsia" w:ascii="仿宋" w:hAnsi="仿宋" w:eastAsia="仿宋"/>
          <w:sz w:val="30"/>
          <w:szCs w:val="30"/>
          <w:u w:val="single"/>
        </w:rPr>
        <w:t>11.9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4</w:t>
      </w:r>
      <w:r>
        <w:rPr>
          <w:rFonts w:hint="eastAsia" w:eastAsia="仿宋_GB2312"/>
          <w:sz w:val="30"/>
          <w:szCs w:val="30"/>
        </w:rPr>
        <w:t>万元、培训费</w:t>
      </w:r>
      <w:r>
        <w:rPr>
          <w:rFonts w:hint="eastAsia" w:ascii="仿宋" w:hAnsi="仿宋" w:eastAsia="仿宋"/>
          <w:sz w:val="30"/>
          <w:szCs w:val="30"/>
          <w:u w:val="single"/>
        </w:rPr>
        <w:t>3.22</w:t>
      </w:r>
      <w:r>
        <w:rPr>
          <w:rFonts w:hint="eastAsia"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  <w:lang w:eastAsia="zh-CN"/>
        </w:rPr>
        <w:t>其他交通</w:t>
      </w:r>
      <w:r>
        <w:rPr>
          <w:rFonts w:hint="eastAsia" w:eastAsia="仿宋_GB2312"/>
          <w:sz w:val="30"/>
          <w:szCs w:val="30"/>
        </w:rPr>
        <w:t>费用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33</w:t>
      </w:r>
      <w:r>
        <w:rPr>
          <w:rFonts w:hint="eastAsia" w:eastAsia="仿宋_GB2312"/>
          <w:sz w:val="30"/>
          <w:szCs w:val="30"/>
          <w:lang w:val="en-US" w:eastAsia="zh-CN"/>
        </w:rPr>
        <w:t>万元、其他商品和服务支出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0.11</w:t>
      </w:r>
      <w:r>
        <w:rPr>
          <w:rFonts w:hint="eastAsia" w:eastAsia="仿宋_GB2312"/>
          <w:sz w:val="30"/>
          <w:szCs w:val="30"/>
          <w:lang w:val="en-US" w:eastAsia="zh-CN"/>
        </w:rPr>
        <w:t>万元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六、关于天津市北辰区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2020年度部门预算政府性基金预算财政拨款收入支出情况说明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天津市北辰区</w:t>
      </w:r>
      <w:r>
        <w:rPr>
          <w:rFonts w:hint="eastAsia" w:ascii="仿宋" w:hAnsi="仿宋" w:eastAsia="仿宋"/>
          <w:sz w:val="30"/>
          <w:szCs w:val="30"/>
          <w:lang w:eastAsia="zh-CN"/>
        </w:rPr>
        <w:t>人民政府青源街道办事处</w:t>
      </w:r>
      <w:r>
        <w:rPr>
          <w:rFonts w:hint="eastAsia" w:ascii="仿宋" w:hAnsi="仿宋" w:eastAsia="仿宋"/>
          <w:sz w:val="30"/>
          <w:szCs w:val="30"/>
        </w:rPr>
        <w:t>2020年度无政府性基金预算财政拨款收入、支出和结转结余。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 w:cs="楷体"/>
          <w:b/>
          <w:bCs/>
          <w:color w:val="000000"/>
          <w:sz w:val="30"/>
          <w:szCs w:val="30"/>
        </w:rPr>
        <w:t>七、关于</w:t>
      </w:r>
      <w:r>
        <w:rPr>
          <w:rFonts w:hint="eastAsia" w:ascii="楷体" w:hAnsi="楷体" w:eastAsia="楷体"/>
          <w:b/>
          <w:sz w:val="30"/>
          <w:szCs w:val="30"/>
        </w:rPr>
        <w:t>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2020年度</w:t>
      </w:r>
      <w:r>
        <w:rPr>
          <w:rFonts w:hint="eastAsia" w:ascii="楷体" w:hAnsi="楷体" w:eastAsia="楷体" w:cs="楷体"/>
          <w:b/>
          <w:bCs/>
          <w:color w:val="000000"/>
          <w:sz w:val="30"/>
          <w:szCs w:val="30"/>
        </w:rPr>
        <w:t>政府采购预算情况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hint="eastAsia" w:ascii="仿宋" w:hAnsi="仿宋" w:eastAsia="仿宋"/>
          <w:sz w:val="30"/>
          <w:szCs w:val="30"/>
          <w:u w:val="none"/>
        </w:rPr>
        <w:t>2020</w:t>
      </w:r>
      <w:r>
        <w:rPr>
          <w:rFonts w:eastAsia="仿宋_GB2312"/>
          <w:sz w:val="30"/>
          <w:szCs w:val="30"/>
        </w:rPr>
        <w:t>年安排政府采购预算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270  </w:t>
      </w:r>
      <w:r>
        <w:rPr>
          <w:rFonts w:eastAsia="仿宋_GB2312"/>
          <w:sz w:val="30"/>
          <w:szCs w:val="30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其中：政府采购货物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预算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235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万元、政府采购工程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预算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0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万元、政府采购服务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预算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35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万元。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 w:cs="楷体"/>
          <w:b/>
          <w:bCs/>
          <w:color w:val="000000"/>
          <w:sz w:val="30"/>
          <w:szCs w:val="30"/>
        </w:rPr>
        <w:t>八、关于</w:t>
      </w:r>
      <w:r>
        <w:rPr>
          <w:rFonts w:hint="eastAsia" w:ascii="楷体" w:hAnsi="楷体" w:eastAsia="楷体"/>
          <w:b/>
          <w:sz w:val="30"/>
          <w:szCs w:val="30"/>
        </w:rPr>
        <w:t>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2020年度</w:t>
      </w:r>
      <w:r>
        <w:rPr>
          <w:rFonts w:hint="eastAsia" w:ascii="楷体" w:hAnsi="楷体" w:eastAsia="楷体" w:cs="楷体"/>
          <w:b/>
          <w:bCs/>
          <w:color w:val="000000"/>
          <w:sz w:val="30"/>
          <w:szCs w:val="30"/>
        </w:rPr>
        <w:t>预算绩效情况</w:t>
      </w:r>
    </w:p>
    <w:p>
      <w:pPr>
        <w:spacing w:line="58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仿宋_GB2312"/>
          <w:color w:val="000000"/>
          <w:sz w:val="30"/>
          <w:szCs w:val="30"/>
        </w:rPr>
        <w:t>2020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年度，本部门实行绩效目标管理的项目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14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个，涉及预算金额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1225.27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万元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0"/>
          <w:szCs w:val="30"/>
        </w:rPr>
        <w:t>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 w:cs="楷体"/>
          <w:b/>
          <w:bCs/>
          <w:color w:val="000000"/>
          <w:sz w:val="30"/>
          <w:szCs w:val="30"/>
        </w:rPr>
        <w:t>九、关于</w:t>
      </w:r>
      <w:r>
        <w:rPr>
          <w:rFonts w:hint="eastAsia" w:ascii="楷体" w:hAnsi="楷体" w:eastAsia="楷体"/>
          <w:b/>
          <w:sz w:val="30"/>
          <w:szCs w:val="30"/>
        </w:rPr>
        <w:t>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2020年度</w:t>
      </w:r>
      <w:r>
        <w:rPr>
          <w:rFonts w:hint="eastAsia" w:ascii="楷体" w:hAnsi="楷体" w:eastAsia="楷体" w:cs="楷体"/>
          <w:b/>
          <w:bCs/>
          <w:color w:val="000000"/>
          <w:sz w:val="30"/>
          <w:szCs w:val="30"/>
        </w:rPr>
        <w:t>国有资产占有使用情况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</w:rPr>
        <w:t>截至</w:t>
      </w:r>
      <w:r>
        <w:rPr>
          <w:rFonts w:ascii="仿宋" w:hAnsi="仿宋" w:eastAsia="仿宋" w:cs="仿宋_GB2312"/>
          <w:color w:val="000000"/>
          <w:sz w:val="30"/>
          <w:szCs w:val="30"/>
          <w:highlight w:val="none"/>
        </w:rPr>
        <w:t>201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</w:rPr>
        <w:t>9年，</w:t>
      </w:r>
      <w:r>
        <w:rPr>
          <w:rFonts w:hint="eastAsia" w:ascii="仿宋" w:hAnsi="仿宋" w:eastAsia="仿宋"/>
          <w:sz w:val="30"/>
          <w:szCs w:val="30"/>
          <w:highlight w:val="none"/>
        </w:rPr>
        <w:t>天津市北辰区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人民政府青源街道办事处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</w:rPr>
        <w:t>共有车辆</w:t>
      </w:r>
      <w:r>
        <w:rPr>
          <w:rFonts w:hint="eastAsia" w:ascii="仿宋" w:hAnsi="仿宋" w:eastAsia="仿宋"/>
          <w:sz w:val="30"/>
          <w:szCs w:val="30"/>
          <w:highlight w:val="none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辆，其中：一般公务用车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辆、一般执法执勤用车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辆、特种专业技术用车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辆、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其他用车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辆。单位价值</w:t>
      </w:r>
      <w:r>
        <w:rPr>
          <w:rFonts w:ascii="仿宋" w:hAnsi="仿宋" w:eastAsia="仿宋" w:cs="仿宋_GB2312"/>
          <w:color w:val="000000"/>
          <w:sz w:val="30"/>
          <w:szCs w:val="30"/>
        </w:rPr>
        <w:t>200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万元以上大型设备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台（套）。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十、关于天津市北辰区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2020年度教育、医疗卫生、社会保障和就业、住房保障、涉农补贴等民生支出情况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  <w:r>
        <w:rPr>
          <w:rFonts w:ascii="仿宋" w:hAnsi="仿宋" w:eastAsia="仿宋" w:cs="仿宋_GB2312"/>
          <w:color w:val="000000"/>
          <w:sz w:val="30"/>
          <w:szCs w:val="30"/>
          <w:highlight w:val="none"/>
        </w:rPr>
        <w:t>2020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</w:rPr>
        <w:t>年度，</w:t>
      </w:r>
      <w:r>
        <w:rPr>
          <w:rFonts w:hint="eastAsia" w:ascii="仿宋" w:hAnsi="仿宋" w:eastAsia="仿宋"/>
          <w:sz w:val="30"/>
          <w:szCs w:val="30"/>
          <w:highlight w:val="none"/>
        </w:rPr>
        <w:t>天津市北辰区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人民政府青源街道办事处</w:t>
      </w:r>
      <w:r>
        <w:rPr>
          <w:rFonts w:hint="eastAsia" w:ascii="仿宋" w:hAnsi="仿宋" w:eastAsia="仿宋"/>
          <w:sz w:val="30"/>
          <w:szCs w:val="30"/>
          <w:highlight w:val="none"/>
        </w:rPr>
        <w:t>教育、医疗卫生、社会保障和就业、住房保障、涉农补贴等民生支出情况，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主要</w:t>
      </w:r>
      <w:r>
        <w:rPr>
          <w:rFonts w:hint="eastAsia" w:ascii="仿宋" w:hAnsi="仿宋" w:eastAsia="仿宋"/>
          <w:sz w:val="30"/>
          <w:szCs w:val="30"/>
          <w:highlight w:val="none"/>
        </w:rPr>
        <w:t>包括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：</w:t>
      </w:r>
    </w:p>
    <w:p>
      <w:pPr>
        <w:spacing w:line="580" w:lineRule="exact"/>
        <w:ind w:firstLine="600"/>
        <w:rPr>
          <w:rFonts w:hint="default" w:ascii="仿宋" w:hAnsi="仿宋" w:eastAsia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社会保障和就业支出：社区工作经费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195万元用于社区建设。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十一、专业性较强的名词进行解释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</w:t>
      </w:r>
      <w:r>
        <w:rPr>
          <w:rFonts w:hint="eastAsia" w:eastAsia="仿宋_GB2312"/>
          <w:sz w:val="30"/>
          <w:szCs w:val="30"/>
          <w:highlight w:val="none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hint="eastAsia" w:eastAsia="楷体_GB2312"/>
          <w:b/>
          <w:sz w:val="30"/>
          <w:szCs w:val="30"/>
          <w:highlight w:val="none"/>
        </w:rPr>
      </w:pPr>
      <w:r>
        <w:rPr>
          <w:rFonts w:hint="eastAsia" w:eastAsia="楷体_GB2312"/>
          <w:b/>
          <w:sz w:val="30"/>
          <w:szCs w:val="30"/>
          <w:highlight w:val="none"/>
        </w:rPr>
        <w:t>十二、关于空表的说明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1.本部门</w:t>
      </w:r>
      <w:r>
        <w:rPr>
          <w:rFonts w:hint="eastAsia" w:ascii="仿宋" w:hAnsi="仿宋" w:eastAsia="仿宋" w:cs="仿宋"/>
          <w:sz w:val="30"/>
          <w:szCs w:val="30"/>
          <w:u w:val="none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年政府性基金预算支出情况表为空表。</w:t>
      </w:r>
    </w:p>
    <w:p>
      <w:pPr>
        <w:spacing w:line="600" w:lineRule="exact"/>
        <w:ind w:firstLine="600" w:firstLineChars="200"/>
        <w:rPr>
          <w:rFonts w:hint="eastAsia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 w:eastAsia="楷体_GB2312"/>
          <w:sz w:val="30"/>
          <w:szCs w:val="30"/>
        </w:rPr>
        <w:t>本部门</w:t>
      </w:r>
      <w:r>
        <w:rPr>
          <w:rFonts w:hint="eastAsia" w:ascii="仿宋" w:hAnsi="仿宋" w:eastAsia="仿宋"/>
          <w:sz w:val="30"/>
          <w:szCs w:val="30"/>
          <w:u w:val="none"/>
        </w:rPr>
        <w:t>2020</w:t>
      </w:r>
      <w:r>
        <w:rPr>
          <w:rFonts w:eastAsia="楷体_GB2312"/>
          <w:sz w:val="30"/>
          <w:szCs w:val="30"/>
        </w:rPr>
        <w:t>年</w:t>
      </w:r>
      <w:r>
        <w:rPr>
          <w:rFonts w:hint="eastAsia" w:eastAsia="楷体_GB2312"/>
          <w:sz w:val="30"/>
          <w:szCs w:val="30"/>
        </w:rPr>
        <w:t>政府性基金预算支出</w:t>
      </w:r>
      <w:r>
        <w:rPr>
          <w:rFonts w:hint="eastAsia" w:ascii="仿宋" w:hAnsi="仿宋" w:eastAsia="仿宋"/>
          <w:sz w:val="30"/>
          <w:szCs w:val="30"/>
        </w:rPr>
        <w:t>明细表（政府预算支出经济分类科目）为空表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spacing w:line="580" w:lineRule="exact"/>
        <w:ind w:firstLine="1800" w:firstLineChars="500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</w:pPr>
    </w:p>
    <w:p/>
    <w:sectPr>
      <w:headerReference r:id="rId5" w:type="default"/>
      <w:footerReference r:id="rId6" w:type="default"/>
      <w:footerReference r:id="rId7" w:type="even"/>
      <w:pgSz w:w="11907" w:h="16840"/>
      <w:pgMar w:top="2098" w:right="1474" w:bottom="1304" w:left="1588" w:header="765" w:footer="765" w:gutter="0"/>
      <w:pgNumType w:fmt="numberInDash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erif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9BD0A8"/>
    <w:multiLevelType w:val="singleLevel"/>
    <w:tmpl w:val="F29BD0A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77"/>
    <w:rsid w:val="0001204D"/>
    <w:rsid w:val="00014B7E"/>
    <w:rsid w:val="00025DCF"/>
    <w:rsid w:val="00026B49"/>
    <w:rsid w:val="00035889"/>
    <w:rsid w:val="0003736F"/>
    <w:rsid w:val="00040A70"/>
    <w:rsid w:val="000546FB"/>
    <w:rsid w:val="00055156"/>
    <w:rsid w:val="000561F0"/>
    <w:rsid w:val="00066DA5"/>
    <w:rsid w:val="00081133"/>
    <w:rsid w:val="00082771"/>
    <w:rsid w:val="00093F1A"/>
    <w:rsid w:val="00097C4D"/>
    <w:rsid w:val="000A6A5A"/>
    <w:rsid w:val="000B1B04"/>
    <w:rsid w:val="000B5758"/>
    <w:rsid w:val="000C3FFB"/>
    <w:rsid w:val="000C5349"/>
    <w:rsid w:val="000C704F"/>
    <w:rsid w:val="000D1BEF"/>
    <w:rsid w:val="000E221E"/>
    <w:rsid w:val="000E5A14"/>
    <w:rsid w:val="000F2DDD"/>
    <w:rsid w:val="00103D12"/>
    <w:rsid w:val="001044EF"/>
    <w:rsid w:val="00107793"/>
    <w:rsid w:val="00131186"/>
    <w:rsid w:val="00141FB3"/>
    <w:rsid w:val="00143640"/>
    <w:rsid w:val="00146622"/>
    <w:rsid w:val="00151DB8"/>
    <w:rsid w:val="00151E56"/>
    <w:rsid w:val="001574DB"/>
    <w:rsid w:val="001639E6"/>
    <w:rsid w:val="0017420B"/>
    <w:rsid w:val="0019552B"/>
    <w:rsid w:val="001A1316"/>
    <w:rsid w:val="001B47FB"/>
    <w:rsid w:val="001C525C"/>
    <w:rsid w:val="001E4814"/>
    <w:rsid w:val="001F43D8"/>
    <w:rsid w:val="001F69BB"/>
    <w:rsid w:val="0020344E"/>
    <w:rsid w:val="00217977"/>
    <w:rsid w:val="00223D56"/>
    <w:rsid w:val="00225E9E"/>
    <w:rsid w:val="002319C9"/>
    <w:rsid w:val="00235DDA"/>
    <w:rsid w:val="002456BF"/>
    <w:rsid w:val="00252DD7"/>
    <w:rsid w:val="00290EAC"/>
    <w:rsid w:val="00293ACA"/>
    <w:rsid w:val="002A1782"/>
    <w:rsid w:val="002A23DC"/>
    <w:rsid w:val="002D67AE"/>
    <w:rsid w:val="002D715E"/>
    <w:rsid w:val="002E3C02"/>
    <w:rsid w:val="002F0F40"/>
    <w:rsid w:val="002F0F49"/>
    <w:rsid w:val="00304097"/>
    <w:rsid w:val="003407F4"/>
    <w:rsid w:val="00343F3E"/>
    <w:rsid w:val="0035053A"/>
    <w:rsid w:val="0035182A"/>
    <w:rsid w:val="003609DB"/>
    <w:rsid w:val="00361453"/>
    <w:rsid w:val="003734E1"/>
    <w:rsid w:val="00381526"/>
    <w:rsid w:val="00391275"/>
    <w:rsid w:val="003929CE"/>
    <w:rsid w:val="003A7D0E"/>
    <w:rsid w:val="003B3A66"/>
    <w:rsid w:val="003C2CCF"/>
    <w:rsid w:val="003D48A4"/>
    <w:rsid w:val="003D647A"/>
    <w:rsid w:val="003E3EA7"/>
    <w:rsid w:val="003E794C"/>
    <w:rsid w:val="003F4CDB"/>
    <w:rsid w:val="00404E18"/>
    <w:rsid w:val="00406A09"/>
    <w:rsid w:val="004178F1"/>
    <w:rsid w:val="00421C5C"/>
    <w:rsid w:val="00424A5A"/>
    <w:rsid w:val="00452C1F"/>
    <w:rsid w:val="004645C1"/>
    <w:rsid w:val="004654FD"/>
    <w:rsid w:val="004660E2"/>
    <w:rsid w:val="0047004A"/>
    <w:rsid w:val="00472621"/>
    <w:rsid w:val="00474C09"/>
    <w:rsid w:val="004A5DF5"/>
    <w:rsid w:val="004B0888"/>
    <w:rsid w:val="004C0EED"/>
    <w:rsid w:val="004C1AA0"/>
    <w:rsid w:val="004E5901"/>
    <w:rsid w:val="004F304B"/>
    <w:rsid w:val="00531F24"/>
    <w:rsid w:val="00547CCA"/>
    <w:rsid w:val="0055334A"/>
    <w:rsid w:val="0056218D"/>
    <w:rsid w:val="00563DE0"/>
    <w:rsid w:val="005717FD"/>
    <w:rsid w:val="00577762"/>
    <w:rsid w:val="00585D27"/>
    <w:rsid w:val="0058731A"/>
    <w:rsid w:val="0059248B"/>
    <w:rsid w:val="005B0F7B"/>
    <w:rsid w:val="005B3956"/>
    <w:rsid w:val="005B5E4D"/>
    <w:rsid w:val="005C0A1F"/>
    <w:rsid w:val="005D0C85"/>
    <w:rsid w:val="005D5F3F"/>
    <w:rsid w:val="005E595A"/>
    <w:rsid w:val="005E5D2D"/>
    <w:rsid w:val="005E642E"/>
    <w:rsid w:val="005F3D28"/>
    <w:rsid w:val="005F52AE"/>
    <w:rsid w:val="005F668D"/>
    <w:rsid w:val="005F6E16"/>
    <w:rsid w:val="00602A30"/>
    <w:rsid w:val="006054BF"/>
    <w:rsid w:val="00646289"/>
    <w:rsid w:val="00646C58"/>
    <w:rsid w:val="0065320E"/>
    <w:rsid w:val="00664752"/>
    <w:rsid w:val="00673ABE"/>
    <w:rsid w:val="006777CE"/>
    <w:rsid w:val="006934E1"/>
    <w:rsid w:val="0069616E"/>
    <w:rsid w:val="006A7042"/>
    <w:rsid w:val="006A7123"/>
    <w:rsid w:val="006B0F4B"/>
    <w:rsid w:val="006D456D"/>
    <w:rsid w:val="006D7313"/>
    <w:rsid w:val="006F408B"/>
    <w:rsid w:val="00703777"/>
    <w:rsid w:val="00716804"/>
    <w:rsid w:val="00737A20"/>
    <w:rsid w:val="0074381E"/>
    <w:rsid w:val="00795DC2"/>
    <w:rsid w:val="007C220B"/>
    <w:rsid w:val="007C257B"/>
    <w:rsid w:val="007C4FF4"/>
    <w:rsid w:val="007E0D5B"/>
    <w:rsid w:val="007F218B"/>
    <w:rsid w:val="00810D0C"/>
    <w:rsid w:val="00824025"/>
    <w:rsid w:val="008277F5"/>
    <w:rsid w:val="0083475B"/>
    <w:rsid w:val="00847B3C"/>
    <w:rsid w:val="00851ECC"/>
    <w:rsid w:val="00861D45"/>
    <w:rsid w:val="00866211"/>
    <w:rsid w:val="00890F33"/>
    <w:rsid w:val="008A2192"/>
    <w:rsid w:val="008B0BE1"/>
    <w:rsid w:val="008C6A37"/>
    <w:rsid w:val="008D0B65"/>
    <w:rsid w:val="008D7A7F"/>
    <w:rsid w:val="008E4B67"/>
    <w:rsid w:val="008F7F2F"/>
    <w:rsid w:val="00912DED"/>
    <w:rsid w:val="009224E2"/>
    <w:rsid w:val="00922C71"/>
    <w:rsid w:val="00931ADF"/>
    <w:rsid w:val="00933DD8"/>
    <w:rsid w:val="00934F3E"/>
    <w:rsid w:val="00937D77"/>
    <w:rsid w:val="00946BC0"/>
    <w:rsid w:val="00962587"/>
    <w:rsid w:val="009822BE"/>
    <w:rsid w:val="00990C9A"/>
    <w:rsid w:val="009970B7"/>
    <w:rsid w:val="009A45FD"/>
    <w:rsid w:val="009B0D59"/>
    <w:rsid w:val="009B0FCC"/>
    <w:rsid w:val="009C3FA3"/>
    <w:rsid w:val="009C4227"/>
    <w:rsid w:val="009D1FD1"/>
    <w:rsid w:val="009D2134"/>
    <w:rsid w:val="009F0927"/>
    <w:rsid w:val="00A01A53"/>
    <w:rsid w:val="00A020B8"/>
    <w:rsid w:val="00A15414"/>
    <w:rsid w:val="00A169EE"/>
    <w:rsid w:val="00A25266"/>
    <w:rsid w:val="00A325D0"/>
    <w:rsid w:val="00A52A4D"/>
    <w:rsid w:val="00A54C43"/>
    <w:rsid w:val="00A62D36"/>
    <w:rsid w:val="00A64852"/>
    <w:rsid w:val="00A74096"/>
    <w:rsid w:val="00A76546"/>
    <w:rsid w:val="00A8081F"/>
    <w:rsid w:val="00A8708A"/>
    <w:rsid w:val="00A918A4"/>
    <w:rsid w:val="00AB093E"/>
    <w:rsid w:val="00AB791A"/>
    <w:rsid w:val="00AC0500"/>
    <w:rsid w:val="00AD51D9"/>
    <w:rsid w:val="00AD6740"/>
    <w:rsid w:val="00AE14F7"/>
    <w:rsid w:val="00AE3DA6"/>
    <w:rsid w:val="00AF0A58"/>
    <w:rsid w:val="00AF121D"/>
    <w:rsid w:val="00B03433"/>
    <w:rsid w:val="00B100CB"/>
    <w:rsid w:val="00B1463F"/>
    <w:rsid w:val="00B25010"/>
    <w:rsid w:val="00B370F4"/>
    <w:rsid w:val="00B4348E"/>
    <w:rsid w:val="00B43A7A"/>
    <w:rsid w:val="00B47C04"/>
    <w:rsid w:val="00B66FA2"/>
    <w:rsid w:val="00B757C2"/>
    <w:rsid w:val="00B90553"/>
    <w:rsid w:val="00B91BBF"/>
    <w:rsid w:val="00B93818"/>
    <w:rsid w:val="00BA2588"/>
    <w:rsid w:val="00BA37CB"/>
    <w:rsid w:val="00BA407A"/>
    <w:rsid w:val="00BB423E"/>
    <w:rsid w:val="00BC3841"/>
    <w:rsid w:val="00BC76FF"/>
    <w:rsid w:val="00BF7933"/>
    <w:rsid w:val="00C12119"/>
    <w:rsid w:val="00C1455B"/>
    <w:rsid w:val="00C149C4"/>
    <w:rsid w:val="00C17C17"/>
    <w:rsid w:val="00C24562"/>
    <w:rsid w:val="00C378B1"/>
    <w:rsid w:val="00C435D4"/>
    <w:rsid w:val="00C50520"/>
    <w:rsid w:val="00C63085"/>
    <w:rsid w:val="00C64EC0"/>
    <w:rsid w:val="00C70269"/>
    <w:rsid w:val="00C8411D"/>
    <w:rsid w:val="00C84F06"/>
    <w:rsid w:val="00C96C5A"/>
    <w:rsid w:val="00CA1B19"/>
    <w:rsid w:val="00CB0036"/>
    <w:rsid w:val="00CE6EAE"/>
    <w:rsid w:val="00CE7964"/>
    <w:rsid w:val="00CE7AC9"/>
    <w:rsid w:val="00CE7B3E"/>
    <w:rsid w:val="00CF3C5E"/>
    <w:rsid w:val="00D055B0"/>
    <w:rsid w:val="00D07F2D"/>
    <w:rsid w:val="00D13688"/>
    <w:rsid w:val="00D15FA8"/>
    <w:rsid w:val="00D23D4D"/>
    <w:rsid w:val="00D27938"/>
    <w:rsid w:val="00D51CC5"/>
    <w:rsid w:val="00D55851"/>
    <w:rsid w:val="00D8056F"/>
    <w:rsid w:val="00D877BB"/>
    <w:rsid w:val="00D92B61"/>
    <w:rsid w:val="00DB28E7"/>
    <w:rsid w:val="00DB3194"/>
    <w:rsid w:val="00DD6E45"/>
    <w:rsid w:val="00DE5D74"/>
    <w:rsid w:val="00DF0B81"/>
    <w:rsid w:val="00DF4EF1"/>
    <w:rsid w:val="00DF6570"/>
    <w:rsid w:val="00E01833"/>
    <w:rsid w:val="00E27103"/>
    <w:rsid w:val="00E37F65"/>
    <w:rsid w:val="00E51564"/>
    <w:rsid w:val="00E62551"/>
    <w:rsid w:val="00E65BBC"/>
    <w:rsid w:val="00E74166"/>
    <w:rsid w:val="00E75826"/>
    <w:rsid w:val="00E804B9"/>
    <w:rsid w:val="00E8177A"/>
    <w:rsid w:val="00E839D5"/>
    <w:rsid w:val="00E90B38"/>
    <w:rsid w:val="00E90C89"/>
    <w:rsid w:val="00E95C79"/>
    <w:rsid w:val="00EA6A5C"/>
    <w:rsid w:val="00EB06BE"/>
    <w:rsid w:val="00EB6AAF"/>
    <w:rsid w:val="00F11449"/>
    <w:rsid w:val="00F211C0"/>
    <w:rsid w:val="00F224AE"/>
    <w:rsid w:val="00F5220F"/>
    <w:rsid w:val="00F54E60"/>
    <w:rsid w:val="00F5688C"/>
    <w:rsid w:val="00F81314"/>
    <w:rsid w:val="00F86B2D"/>
    <w:rsid w:val="00F86C27"/>
    <w:rsid w:val="00F86DF0"/>
    <w:rsid w:val="00F943D8"/>
    <w:rsid w:val="00FB4035"/>
    <w:rsid w:val="00FC57FA"/>
    <w:rsid w:val="00FE3D89"/>
    <w:rsid w:val="00FE7BA7"/>
    <w:rsid w:val="0FAA411E"/>
    <w:rsid w:val="1B4D58C5"/>
    <w:rsid w:val="1D681DEC"/>
    <w:rsid w:val="268758BC"/>
    <w:rsid w:val="35277630"/>
    <w:rsid w:val="3557428F"/>
    <w:rsid w:val="3B9F0671"/>
    <w:rsid w:val="3C0C2859"/>
    <w:rsid w:val="3D407E3C"/>
    <w:rsid w:val="3FCB28EB"/>
    <w:rsid w:val="40956B0D"/>
    <w:rsid w:val="4B1E42C2"/>
    <w:rsid w:val="4E1E02D7"/>
    <w:rsid w:val="4E1E2D6D"/>
    <w:rsid w:val="4F204931"/>
    <w:rsid w:val="582805A8"/>
    <w:rsid w:val="5F04443A"/>
    <w:rsid w:val="603238AA"/>
    <w:rsid w:val="60E22778"/>
    <w:rsid w:val="67420EC2"/>
    <w:rsid w:val="692131CF"/>
    <w:rsid w:val="693A5856"/>
    <w:rsid w:val="69551626"/>
    <w:rsid w:val="69C170CF"/>
    <w:rsid w:val="6A2D5246"/>
    <w:rsid w:val="6E292BF9"/>
    <w:rsid w:val="73A82400"/>
    <w:rsid w:val="748F20DD"/>
    <w:rsid w:val="7BE577D9"/>
    <w:rsid w:val="7ECE5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S Serif" w:hAnsi="MS Serif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sz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link w:val="3"/>
    <w:qFormat/>
    <w:uiPriority w:val="0"/>
    <w:rPr>
      <w:sz w:val="18"/>
      <w:szCs w:val="18"/>
    </w:rPr>
  </w:style>
  <w:style w:type="paragraph" w:customStyle="1" w:styleId="10">
    <w:name w:val="Char Char"/>
    <w:basedOn w:val="2"/>
    <w:qFormat/>
    <w:uiPriority w:val="0"/>
    <w:pPr>
      <w:adjustRightInd/>
      <w:spacing w:line="240" w:lineRule="auto"/>
      <w:jc w:val="both"/>
      <w:textAlignment w:val="auto"/>
    </w:pPr>
  </w:style>
  <w:style w:type="paragraph" w:styleId="11">
    <w:name w:val="List Paragraph"/>
    <w:basedOn w:val="1"/>
    <w:qFormat/>
    <w:uiPriority w:val="34"/>
    <w:pPr>
      <w:adjustRightInd/>
      <w:spacing w:line="240" w:lineRule="auto"/>
      <w:ind w:firstLine="420" w:firstLineChars="200"/>
      <w:jc w:val="both"/>
      <w:textAlignment w:val="auto"/>
    </w:pPr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369</Words>
  <Characters>2104</Characters>
  <Lines>17</Lines>
  <Paragraphs>4</Paragraphs>
  <TotalTime>7</TotalTime>
  <ScaleCrop>false</ScaleCrop>
  <LinksUpToDate>false</LinksUpToDate>
  <CharactersWithSpaces>2469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2020-02-18T12:45:00Z</dcterms:created>
  <dc:creator>朱春礼</dc:creator>
  <cp:lastModifiedBy>fb</cp:lastModifiedBy>
  <cp:lastPrinted>2020-01-16T15:47:00Z</cp:lastPrinted>
  <dcterms:modified xsi:type="dcterms:W3CDTF">2021-05-21T02:35:01Z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83C7725F7A8B4BE28582E0960A0529F6</vt:lpwstr>
  </property>
</Properties>
</file>