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/>
          <w:sz w:val="44"/>
          <w:szCs w:val="44"/>
        </w:rPr>
      </w:pPr>
      <w:bookmarkStart w:id="0" w:name="_GoBack"/>
      <w:bookmarkEnd w:id="0"/>
    </w:p>
    <w:p>
      <w:pPr>
        <w:pStyle w:val="5"/>
        <w:spacing w:before="0" w:after="0"/>
        <w:rPr>
          <w:rFonts w:hint="eastAsia" w:ascii="华文中宋" w:hAnsi="华文中宋" w:eastAsia="华文中宋"/>
          <w:b w:val="0"/>
          <w:bCs w:val="0"/>
        </w:rPr>
      </w:pPr>
      <w:r>
        <w:rPr>
          <w:rFonts w:hint="eastAsia" w:ascii="华文中宋" w:hAnsi="华文中宋" w:eastAsia="华文中宋"/>
          <w:b w:val="0"/>
          <w:bCs w:val="0"/>
        </w:rPr>
        <w:t>部门预决算公开工作操作规程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为进一步规范部门预决算公开工作，根据《中华人民共和国预算法》和财政部、市政府对预决算信息公开的有关要求，制定本规程。</w:t>
      </w:r>
    </w:p>
    <w:p>
      <w:pPr>
        <w:spacing w:line="560" w:lineRule="exact"/>
        <w:ind w:firstLine="600" w:firstLineChars="2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一、公开职责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单位是部门预决算公开的主体，负责本单位预决算公开工作，应当树立依法公开观念，增强主动公开意识，切实履行主动公开责任，做好预决算公开后的说明解释工作。</w:t>
      </w:r>
    </w:p>
    <w:p>
      <w:pPr>
        <w:spacing w:line="560" w:lineRule="exact"/>
        <w:ind w:firstLine="600" w:firstLineChars="2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二、公开时间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按照《预算法》、</w:t>
      </w:r>
      <w:r>
        <w:rPr>
          <w:rFonts w:hint="eastAsia" w:ascii="仿宋_GB2312" w:eastAsia="仿宋_GB2312"/>
          <w:sz w:val="30"/>
          <w:szCs w:val="30"/>
        </w:rPr>
        <w:t>《天津市预算审查监督条例》</w:t>
      </w:r>
      <w:r>
        <w:rPr>
          <w:rFonts w:hint="eastAsia" w:eastAsia="仿宋_GB2312"/>
          <w:sz w:val="30"/>
          <w:szCs w:val="30"/>
        </w:rPr>
        <w:t>相关规定，经</w:t>
      </w:r>
      <w:r>
        <w:rPr>
          <w:rFonts w:hint="eastAsia" w:ascii="仿宋_GB2312" w:eastAsia="仿宋_GB2312"/>
          <w:sz w:val="30"/>
          <w:szCs w:val="30"/>
        </w:rPr>
        <w:t>财政部门批复的部门预算、决算及报表，在批复后二十日内向社会公开；经预算主管部门批复的单位预算、决算及报表，在批复之日起二十日内由基层单位向社会公开。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单位在法律规定的时限内公开，原则上在同一天集中公开。</w:t>
      </w:r>
    </w:p>
    <w:p>
      <w:pPr>
        <w:spacing w:line="560" w:lineRule="exact"/>
        <w:ind w:firstLine="600" w:firstLineChars="2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三、公开内容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部门预决算公开的内容为财政部门批复的部门预决算及报表，包括收支总体情况和财政拨款收支情况。涉及国家秘密的信息除外。</w:t>
      </w:r>
    </w:p>
    <w:p>
      <w:pPr>
        <w:spacing w:line="560" w:lineRule="exact"/>
        <w:ind w:firstLine="567" w:firstLineChars="18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般公共预算支出情况表公开到功能分类项级科目。一般公共预算基本支出表公开到经济性质分类款级科目。一般公共预算“三公”经费支出表按“因公出国（境）费”、“公务用车购置及运行费”、“公务接待费”公开，其中，“公务用车购置及运行费”应细化到“公务用车购置费”、“公务用车运行费”两个项目。</w:t>
      </w:r>
    </w:p>
    <w:p>
      <w:pPr>
        <w:spacing w:line="560" w:lineRule="exact"/>
        <w:ind w:firstLine="567" w:firstLineChars="18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公开部门预决算时，一并公开本部门职责、机构设置、预决算收支增减变化、机关运行经费安排、政府采购、预算绩效以及国有资产占用等情况的说明，并对专业性较强的名词进行解释。</w:t>
      </w:r>
    </w:p>
    <w:p>
      <w:pPr>
        <w:spacing w:line="560" w:lineRule="exact"/>
        <w:ind w:firstLine="600" w:firstLineChars="2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四、公开形式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统一在区政府信息公开平台专栏进行预决算公开。有门户网站的通过本单位门户网站向社会公开部门预决算</w:t>
      </w:r>
      <w:r>
        <w:rPr>
          <w:rFonts w:hint="eastAsia" w:ascii="仿宋_GB2312" w:eastAsia="仿宋_GB2312"/>
          <w:sz w:val="30"/>
          <w:szCs w:val="30"/>
        </w:rPr>
        <w:t>及“三公”经费预决算</w:t>
      </w:r>
      <w:r>
        <w:rPr>
          <w:rFonts w:hint="eastAsia" w:ascii="仿宋_GB2312" w:hAnsi="仿宋_GB2312" w:eastAsia="仿宋_GB2312" w:cs="仿宋_GB2312"/>
          <w:sz w:val="30"/>
          <w:szCs w:val="30"/>
        </w:rPr>
        <w:t>，并永久保留；设立本部门预决算公开专栏，汇总集中公开所属单位预决算信息。</w:t>
      </w:r>
    </w:p>
    <w:p>
      <w:pPr>
        <w:spacing w:line="560" w:lineRule="exact"/>
        <w:ind w:firstLine="600" w:firstLineChars="2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五、涉密事项管理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建立健全预决算公开保密审查机制，严格按照《中华人民共和国保守国家秘密法》、《中华人民共和国政府信息公开条例》等法律法规规定进行审查。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依法公开部门预决算时，对涉及国家秘密的内容不予公开。部分内容涉及国家秘密的，在确保安全的前提下，按照下列原则处理：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（一）同一功能分类款级科目下，大部分项级科目涉密的，仅公开到该款级科目；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（二）同一功能分类类级科目下，大部分款级科目涉密的，仅公开到该类级科目；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（三）个别功能分类款级科目或项级科目涉密的，除不公开该涉密科目外，同一级次的“其他支出”科目也不公开。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B8"/>
    <w:rsid w:val="000100A5"/>
    <w:rsid w:val="00013C47"/>
    <w:rsid w:val="000340A4"/>
    <w:rsid w:val="000461A8"/>
    <w:rsid w:val="0008383F"/>
    <w:rsid w:val="00085AB8"/>
    <w:rsid w:val="000925AA"/>
    <w:rsid w:val="00092B38"/>
    <w:rsid w:val="000B2C27"/>
    <w:rsid w:val="000C222E"/>
    <w:rsid w:val="000D3491"/>
    <w:rsid w:val="000E3B78"/>
    <w:rsid w:val="00112C99"/>
    <w:rsid w:val="00121207"/>
    <w:rsid w:val="00125D96"/>
    <w:rsid w:val="00141CDE"/>
    <w:rsid w:val="001634AB"/>
    <w:rsid w:val="00163F52"/>
    <w:rsid w:val="00165A45"/>
    <w:rsid w:val="00174AB2"/>
    <w:rsid w:val="00193138"/>
    <w:rsid w:val="001D31E5"/>
    <w:rsid w:val="001D5053"/>
    <w:rsid w:val="001E15AE"/>
    <w:rsid w:val="0020450C"/>
    <w:rsid w:val="0022056C"/>
    <w:rsid w:val="00232CCA"/>
    <w:rsid w:val="002422F2"/>
    <w:rsid w:val="00255EAA"/>
    <w:rsid w:val="00275274"/>
    <w:rsid w:val="00294269"/>
    <w:rsid w:val="002B465D"/>
    <w:rsid w:val="002D1437"/>
    <w:rsid w:val="002E5BE2"/>
    <w:rsid w:val="002E68B2"/>
    <w:rsid w:val="002F2827"/>
    <w:rsid w:val="003274BB"/>
    <w:rsid w:val="00330707"/>
    <w:rsid w:val="003337C6"/>
    <w:rsid w:val="003463B9"/>
    <w:rsid w:val="00356435"/>
    <w:rsid w:val="003701BF"/>
    <w:rsid w:val="0038202C"/>
    <w:rsid w:val="00384A2B"/>
    <w:rsid w:val="00391EB3"/>
    <w:rsid w:val="003A7B50"/>
    <w:rsid w:val="003C03FF"/>
    <w:rsid w:val="003C7F1A"/>
    <w:rsid w:val="003D28CF"/>
    <w:rsid w:val="003D5F8A"/>
    <w:rsid w:val="003E7295"/>
    <w:rsid w:val="00421133"/>
    <w:rsid w:val="004236B3"/>
    <w:rsid w:val="0043657A"/>
    <w:rsid w:val="00474B16"/>
    <w:rsid w:val="00475E6C"/>
    <w:rsid w:val="00483CA6"/>
    <w:rsid w:val="004875A3"/>
    <w:rsid w:val="00493016"/>
    <w:rsid w:val="004B5BF6"/>
    <w:rsid w:val="004E124B"/>
    <w:rsid w:val="00503E0F"/>
    <w:rsid w:val="00515B22"/>
    <w:rsid w:val="00517768"/>
    <w:rsid w:val="0053075C"/>
    <w:rsid w:val="00531B53"/>
    <w:rsid w:val="0055713D"/>
    <w:rsid w:val="005725C7"/>
    <w:rsid w:val="005832B4"/>
    <w:rsid w:val="00584AF9"/>
    <w:rsid w:val="00586C21"/>
    <w:rsid w:val="005C254B"/>
    <w:rsid w:val="005C41B7"/>
    <w:rsid w:val="005D0A84"/>
    <w:rsid w:val="006051E4"/>
    <w:rsid w:val="00647977"/>
    <w:rsid w:val="00651E7A"/>
    <w:rsid w:val="00661524"/>
    <w:rsid w:val="00664B8A"/>
    <w:rsid w:val="0067308B"/>
    <w:rsid w:val="00677797"/>
    <w:rsid w:val="006938A3"/>
    <w:rsid w:val="0069607F"/>
    <w:rsid w:val="006A3D3D"/>
    <w:rsid w:val="006A4C60"/>
    <w:rsid w:val="006C787E"/>
    <w:rsid w:val="006D1727"/>
    <w:rsid w:val="006E3CA0"/>
    <w:rsid w:val="006F3129"/>
    <w:rsid w:val="00731526"/>
    <w:rsid w:val="007362F0"/>
    <w:rsid w:val="00736D46"/>
    <w:rsid w:val="00757334"/>
    <w:rsid w:val="0078788A"/>
    <w:rsid w:val="007A1257"/>
    <w:rsid w:val="007B5FB9"/>
    <w:rsid w:val="007C01BE"/>
    <w:rsid w:val="007D0663"/>
    <w:rsid w:val="007D3413"/>
    <w:rsid w:val="007D564D"/>
    <w:rsid w:val="007D66F4"/>
    <w:rsid w:val="007E2AFA"/>
    <w:rsid w:val="00801ED8"/>
    <w:rsid w:val="00812762"/>
    <w:rsid w:val="00844BF9"/>
    <w:rsid w:val="008B246C"/>
    <w:rsid w:val="008B5B5F"/>
    <w:rsid w:val="008D71DF"/>
    <w:rsid w:val="008E27EF"/>
    <w:rsid w:val="00900BBB"/>
    <w:rsid w:val="009028E4"/>
    <w:rsid w:val="00910069"/>
    <w:rsid w:val="00924AD0"/>
    <w:rsid w:val="00941338"/>
    <w:rsid w:val="00942928"/>
    <w:rsid w:val="00943248"/>
    <w:rsid w:val="00943E3A"/>
    <w:rsid w:val="00952E41"/>
    <w:rsid w:val="00981561"/>
    <w:rsid w:val="00990AA0"/>
    <w:rsid w:val="00997A96"/>
    <w:rsid w:val="009A5406"/>
    <w:rsid w:val="009B53FB"/>
    <w:rsid w:val="009C593E"/>
    <w:rsid w:val="009D5526"/>
    <w:rsid w:val="009E6F69"/>
    <w:rsid w:val="009F3C52"/>
    <w:rsid w:val="00A00F71"/>
    <w:rsid w:val="00A7086B"/>
    <w:rsid w:val="00A81709"/>
    <w:rsid w:val="00AA35FE"/>
    <w:rsid w:val="00AD76E0"/>
    <w:rsid w:val="00AE1079"/>
    <w:rsid w:val="00B070DD"/>
    <w:rsid w:val="00B106BB"/>
    <w:rsid w:val="00B14DD6"/>
    <w:rsid w:val="00B177E1"/>
    <w:rsid w:val="00B22188"/>
    <w:rsid w:val="00B3211C"/>
    <w:rsid w:val="00B37126"/>
    <w:rsid w:val="00B85371"/>
    <w:rsid w:val="00BB4702"/>
    <w:rsid w:val="00BF70B4"/>
    <w:rsid w:val="00C11CD7"/>
    <w:rsid w:val="00C315F9"/>
    <w:rsid w:val="00C41BAD"/>
    <w:rsid w:val="00C474DC"/>
    <w:rsid w:val="00C54BF8"/>
    <w:rsid w:val="00C54C6D"/>
    <w:rsid w:val="00C8257D"/>
    <w:rsid w:val="00C873B5"/>
    <w:rsid w:val="00CB3EFB"/>
    <w:rsid w:val="00CC59B4"/>
    <w:rsid w:val="00CE0B7B"/>
    <w:rsid w:val="00CF4C68"/>
    <w:rsid w:val="00CF732C"/>
    <w:rsid w:val="00CF7595"/>
    <w:rsid w:val="00D05E89"/>
    <w:rsid w:val="00D42721"/>
    <w:rsid w:val="00D6373B"/>
    <w:rsid w:val="00D715B1"/>
    <w:rsid w:val="00D725DA"/>
    <w:rsid w:val="00DA2F01"/>
    <w:rsid w:val="00DA41E1"/>
    <w:rsid w:val="00DA7325"/>
    <w:rsid w:val="00DB003A"/>
    <w:rsid w:val="00DC0D76"/>
    <w:rsid w:val="00DC3A71"/>
    <w:rsid w:val="00DF1823"/>
    <w:rsid w:val="00E0040D"/>
    <w:rsid w:val="00E16279"/>
    <w:rsid w:val="00E2455B"/>
    <w:rsid w:val="00E33F00"/>
    <w:rsid w:val="00E4022C"/>
    <w:rsid w:val="00E52828"/>
    <w:rsid w:val="00E75D1C"/>
    <w:rsid w:val="00E85D16"/>
    <w:rsid w:val="00EC7A9D"/>
    <w:rsid w:val="00EE27AF"/>
    <w:rsid w:val="00F070B8"/>
    <w:rsid w:val="00F368EA"/>
    <w:rsid w:val="00F55344"/>
    <w:rsid w:val="00F67A88"/>
    <w:rsid w:val="00F8686E"/>
    <w:rsid w:val="00F86D42"/>
    <w:rsid w:val="00FA1298"/>
    <w:rsid w:val="00FE6FAD"/>
    <w:rsid w:val="00FE7268"/>
    <w:rsid w:val="00FF2ED6"/>
    <w:rsid w:val="05170838"/>
    <w:rsid w:val="0E6A6BB2"/>
    <w:rsid w:val="0EF23DBA"/>
    <w:rsid w:val="0F535CB8"/>
    <w:rsid w:val="10796DAC"/>
    <w:rsid w:val="132578AB"/>
    <w:rsid w:val="14032E49"/>
    <w:rsid w:val="19B20372"/>
    <w:rsid w:val="1ED30E31"/>
    <w:rsid w:val="211E7F6D"/>
    <w:rsid w:val="23654722"/>
    <w:rsid w:val="33183D88"/>
    <w:rsid w:val="377E3E8C"/>
    <w:rsid w:val="3B3A2472"/>
    <w:rsid w:val="3C8E09AD"/>
    <w:rsid w:val="3FCA4BA3"/>
    <w:rsid w:val="4D406DEC"/>
    <w:rsid w:val="58CC54FB"/>
    <w:rsid w:val="6CF2707A"/>
    <w:rsid w:val="72BB3983"/>
    <w:rsid w:val="737E52D5"/>
    <w:rsid w:val="76C45C12"/>
    <w:rsid w:val="7DFD50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before="240" w:after="480"/>
      <w:ind w:firstLine="0" w:firstLineChars="0"/>
      <w:jc w:val="center"/>
      <w:outlineLvl w:val="0"/>
    </w:pPr>
    <w:rPr>
      <w:rFonts w:eastAsia="黑体"/>
      <w:b/>
      <w:bCs/>
      <w:kern w:val="0"/>
      <w:sz w:val="36"/>
      <w:szCs w:val="32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批注框文本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141</Words>
  <Characters>807</Characters>
  <Lines>6</Lines>
  <Paragraphs>1</Paragraphs>
  <TotalTime>0</TotalTime>
  <ScaleCrop>false</ScaleCrop>
  <LinksUpToDate>false</LinksUpToDate>
  <CharactersWithSpaces>947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2019-08-07T19:02:00Z</dcterms:created>
  <dc:creator>张云</dc:creator>
  <cp:lastModifiedBy>admin</cp:lastModifiedBy>
  <cp:lastPrinted>2019-08-08T15:12:00Z</cp:lastPrinted>
  <dcterms:modified xsi:type="dcterms:W3CDTF">2021-05-20T14:53:14Z</dcterms:modified>
  <dc:title>（一）部门决算公开的范围和内容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