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line="360" w:lineRule="auto"/>
        <w:jc w:val="both"/>
        <w:rPr>
          <w:rFonts w:hint="eastAsia" w:ascii="宋体" w:hAnsi="宋体" w:eastAsia="宋体" w:cs="宋体"/>
          <w:b/>
          <w:bCs/>
          <w:kern w:val="2"/>
          <w:sz w:val="56"/>
          <w:szCs w:val="56"/>
        </w:rPr>
      </w:pPr>
      <w:bookmarkStart w:id="0" w:name="_Toc19122"/>
      <w:bookmarkStart w:id="1" w:name="_Toc6850"/>
      <w:bookmarkStart w:id="2" w:name="_Toc3162"/>
      <w:bookmarkStart w:id="3" w:name="_Toc20947"/>
      <w:bookmarkStart w:id="4" w:name="_Toc31032"/>
      <w:bookmarkStart w:id="5" w:name="_Toc24276"/>
      <w:bookmarkStart w:id="6" w:name="_Toc13497"/>
      <w:bookmarkStart w:id="7" w:name="_Toc7434"/>
      <w:bookmarkStart w:id="8" w:name="_Toc7665"/>
      <w:bookmarkStart w:id="9" w:name="_Toc24369"/>
    </w:p>
    <w:p>
      <w:pPr>
        <w:pStyle w:val="23"/>
        <w:spacing w:line="360" w:lineRule="auto"/>
        <w:jc w:val="center"/>
        <w:outlineLvl w:val="0"/>
        <w:rPr>
          <w:rFonts w:ascii="宋体" w:hAnsi="宋体" w:eastAsia="宋体" w:cs="宋体"/>
          <w:b/>
          <w:bCs/>
          <w:kern w:val="2"/>
          <w:sz w:val="52"/>
          <w:szCs w:val="52"/>
        </w:rPr>
      </w:pPr>
      <w:r>
        <w:rPr>
          <w:rFonts w:hint="eastAsia" w:ascii="宋体" w:hAnsi="宋体" w:eastAsia="宋体" w:cs="宋体"/>
          <w:b/>
          <w:bCs/>
          <w:kern w:val="2"/>
          <w:sz w:val="56"/>
          <w:szCs w:val="56"/>
          <w:lang w:eastAsia="zh-CN"/>
        </w:rPr>
        <w:t>双青片区部分社区、道路市容环境清整项目</w:t>
      </w:r>
    </w:p>
    <w:p>
      <w:pPr>
        <w:spacing w:beforeLines="50" w:afterLines="50"/>
        <w:jc w:val="center"/>
        <w:outlineLvl w:val="0"/>
        <w:rPr>
          <w:rFonts w:ascii="宋体" w:hAnsi="宋体" w:eastAsia="宋体" w:cs="宋体"/>
          <w:b/>
          <w:bCs/>
          <w:kern w:val="2"/>
          <w:sz w:val="52"/>
          <w:szCs w:val="52"/>
        </w:rPr>
      </w:pPr>
      <w:r>
        <w:rPr>
          <w:rFonts w:hint="eastAsia" w:ascii="宋体" w:hAnsi="宋体" w:eastAsia="宋体" w:cs="宋体"/>
          <w:b/>
          <w:bCs/>
          <w:kern w:val="2"/>
          <w:sz w:val="52"/>
          <w:szCs w:val="52"/>
        </w:rPr>
        <w:t>竞争性磋商文件</w:t>
      </w:r>
    </w:p>
    <w:p>
      <w:pPr>
        <w:jc w:val="center"/>
        <w:rPr>
          <w:rFonts w:ascii="宋体" w:hAnsi="宋体" w:eastAsia="宋体" w:cs="宋体"/>
          <w:b/>
          <w:bCs/>
          <w:kern w:val="2"/>
          <w:sz w:val="40"/>
          <w:szCs w:val="40"/>
        </w:rPr>
      </w:pPr>
    </w:p>
    <w:p>
      <w:pPr>
        <w:tabs>
          <w:tab w:val="center" w:pos="4600"/>
          <w:tab w:val="left" w:pos="7640"/>
        </w:tabs>
        <w:outlineLvl w:val="0"/>
        <w:rPr>
          <w:rFonts w:ascii="宋体" w:hAnsi="宋体" w:eastAsia="宋体" w:cs="宋体"/>
          <w:b/>
          <w:bCs/>
          <w:kern w:val="2"/>
          <w:sz w:val="40"/>
          <w:szCs w:val="40"/>
        </w:rPr>
      </w:pPr>
      <w:r>
        <w:rPr>
          <w:rFonts w:hint="eastAsia" w:ascii="宋体" w:hAnsi="宋体" w:eastAsia="宋体" w:cs="宋体"/>
          <w:b/>
          <w:bCs/>
          <w:kern w:val="2"/>
          <w:sz w:val="40"/>
          <w:szCs w:val="40"/>
        </w:rPr>
        <w:tab/>
      </w:r>
      <w:r>
        <w:rPr>
          <w:rFonts w:hint="eastAsia" w:ascii="宋体" w:hAnsi="宋体" w:eastAsia="宋体" w:cs="宋体"/>
          <w:b/>
          <w:bCs/>
          <w:kern w:val="2"/>
          <w:sz w:val="40"/>
          <w:szCs w:val="40"/>
        </w:rPr>
        <w:t>项目编号：</w:t>
      </w:r>
      <w:r>
        <w:rPr>
          <w:rFonts w:hint="eastAsia" w:ascii="宋体" w:hAnsi="宋体" w:eastAsia="宋体" w:cs="宋体"/>
          <w:b/>
          <w:bCs/>
          <w:kern w:val="2"/>
          <w:sz w:val="40"/>
          <w:szCs w:val="40"/>
          <w:lang w:eastAsia="zh-CN"/>
        </w:rPr>
        <w:t>BCJY-2020-C-011</w:t>
      </w:r>
      <w:r>
        <w:rPr>
          <w:rFonts w:hint="eastAsia" w:ascii="宋体" w:hAnsi="宋体" w:eastAsia="宋体" w:cs="宋体"/>
          <w:b/>
          <w:bCs/>
          <w:kern w:val="2"/>
          <w:sz w:val="40"/>
          <w:szCs w:val="40"/>
        </w:rPr>
        <w:tab/>
      </w:r>
    </w:p>
    <w:p>
      <w:pPr>
        <w:jc w:val="center"/>
        <w:rPr>
          <w:rFonts w:ascii="宋体" w:hAnsi="宋体" w:eastAsia="宋体" w:cs="宋体"/>
          <w:b/>
          <w:bCs/>
          <w:kern w:val="2"/>
          <w:sz w:val="36"/>
          <w:szCs w:val="36"/>
        </w:rPr>
      </w:pPr>
    </w:p>
    <w:p>
      <w:pPr>
        <w:tabs>
          <w:tab w:val="left" w:pos="1634"/>
        </w:tabs>
        <w:jc w:val="center"/>
        <w:rPr>
          <w:rFonts w:ascii="宋体" w:hAnsi="宋体" w:eastAsia="宋体" w:cs="宋体"/>
          <w:b/>
          <w:bCs/>
          <w:kern w:val="2"/>
          <w:sz w:val="44"/>
          <w:szCs w:val="44"/>
        </w:rPr>
      </w:pPr>
      <w:r>
        <w:pict>
          <v:shape id="_x0000_i1025" o:spt="75" type="#_x0000_t75" style="height:141.75pt;width:145.5pt;" filled="f" o:preferrelative="t" stroked="f" coordsize="21600,21600">
            <v:path/>
            <v:fill on="f" focussize="0,0"/>
            <v:stroke on="f" joinstyle="miter"/>
            <v:imagedata r:id="rId6" o:title=""/>
            <o:lock v:ext="edit" aspectratio="t"/>
            <w10:wrap type="none"/>
            <w10:anchorlock/>
          </v:shape>
        </w:pict>
      </w:r>
    </w:p>
    <w:p>
      <w:pPr>
        <w:tabs>
          <w:tab w:val="left" w:pos="1634"/>
        </w:tabs>
        <w:rPr>
          <w:rFonts w:ascii="宋体" w:hAnsi="宋体" w:eastAsia="宋体" w:cs="宋体"/>
          <w:b/>
          <w:bCs/>
          <w:kern w:val="2"/>
          <w:sz w:val="44"/>
          <w:szCs w:val="44"/>
        </w:rPr>
      </w:pPr>
    </w:p>
    <w:p>
      <w:pPr>
        <w:tabs>
          <w:tab w:val="left" w:pos="1634"/>
        </w:tabs>
        <w:ind w:firstLine="1285" w:firstLineChars="400"/>
        <w:outlineLvl w:val="0"/>
        <w:rPr>
          <w:rFonts w:ascii="宋体" w:hAnsi="宋体" w:eastAsia="宋体" w:cs="宋体"/>
          <w:kern w:val="2"/>
          <w:sz w:val="32"/>
          <w:szCs w:val="32"/>
        </w:rPr>
      </w:pPr>
      <w:r>
        <w:rPr>
          <w:rFonts w:hint="eastAsia" w:ascii="宋体" w:hAnsi="宋体" w:eastAsia="宋体" w:cs="宋体"/>
          <w:b/>
          <w:bCs/>
          <w:kern w:val="2"/>
          <w:sz w:val="32"/>
          <w:szCs w:val="32"/>
        </w:rPr>
        <w:t>采购人：</w:t>
      </w:r>
      <w:bookmarkStart w:id="167" w:name="_GoBack"/>
      <w:r>
        <w:rPr>
          <w:rFonts w:hint="eastAsia" w:ascii="宋体" w:hAnsi="宋体" w:eastAsia="宋体" w:cs="宋体"/>
          <w:kern w:val="2"/>
          <w:sz w:val="32"/>
          <w:szCs w:val="32"/>
        </w:rPr>
        <w:t>天津市北辰区人民政府青源街道办事处</w:t>
      </w:r>
      <w:bookmarkEnd w:id="167"/>
    </w:p>
    <w:p>
      <w:pPr>
        <w:spacing w:beforeLines="50"/>
        <w:ind w:firstLine="1285" w:firstLineChars="400"/>
        <w:jc w:val="both"/>
        <w:outlineLvl w:val="0"/>
        <w:rPr>
          <w:rFonts w:ascii="宋体" w:hAnsi="宋体" w:eastAsia="宋体" w:cs="宋体"/>
          <w:kern w:val="2"/>
          <w:sz w:val="32"/>
          <w:szCs w:val="32"/>
        </w:rPr>
      </w:pPr>
      <w:r>
        <w:rPr>
          <w:rFonts w:hint="eastAsia" w:ascii="宋体" w:hAnsi="宋体" w:eastAsia="宋体" w:cs="宋体"/>
          <w:b/>
          <w:bCs/>
          <w:kern w:val="2"/>
          <w:sz w:val="32"/>
          <w:szCs w:val="32"/>
        </w:rPr>
        <w:t>采购代理机构：</w:t>
      </w:r>
      <w:r>
        <w:rPr>
          <w:rFonts w:hint="eastAsia" w:ascii="宋体" w:hAnsi="宋体" w:eastAsia="宋体" w:cs="宋体"/>
          <w:kern w:val="2"/>
          <w:sz w:val="32"/>
          <w:szCs w:val="32"/>
        </w:rPr>
        <w:t>天津同力源工程咨询有限公司</w:t>
      </w:r>
    </w:p>
    <w:p>
      <w:pPr>
        <w:spacing w:beforeLines="50"/>
        <w:ind w:firstLine="321" w:firstLineChars="100"/>
        <w:jc w:val="both"/>
        <w:rPr>
          <w:rFonts w:ascii="宋体" w:hAnsi="宋体" w:eastAsia="宋体" w:cs="宋体"/>
          <w:b/>
          <w:bCs/>
          <w:kern w:val="2"/>
          <w:sz w:val="32"/>
          <w:szCs w:val="32"/>
        </w:rPr>
      </w:pPr>
    </w:p>
    <w:p>
      <w:pPr>
        <w:spacing w:beforeLines="50"/>
        <w:ind w:firstLine="3534" w:firstLineChars="1100"/>
        <w:jc w:val="both"/>
        <w:outlineLvl w:val="0"/>
        <w:rPr>
          <w:rFonts w:ascii="宋体" w:hAnsi="宋体" w:eastAsia="宋体" w:cs="宋体"/>
          <w:b/>
          <w:bCs/>
          <w:kern w:val="2"/>
          <w:sz w:val="32"/>
          <w:szCs w:val="32"/>
        </w:rPr>
        <w:sectPr>
          <w:headerReference r:id="rId3" w:type="default"/>
          <w:pgSz w:w="11906" w:h="16838"/>
          <w:pgMar w:top="1418" w:right="1418" w:bottom="1260" w:left="1418" w:header="709" w:footer="709" w:gutter="0"/>
          <w:pgBorders>
            <w:top w:val="none" w:sz="0" w:space="0"/>
            <w:left w:val="none" w:sz="0" w:space="0"/>
            <w:bottom w:val="none" w:sz="0" w:space="0"/>
            <w:right w:val="none" w:sz="0" w:space="0"/>
          </w:pgBorders>
          <w:cols w:space="720" w:num="1"/>
          <w:docGrid w:type="lines" w:linePitch="360" w:charSpace="0"/>
        </w:sectPr>
      </w:pPr>
      <w:r>
        <w:rPr>
          <w:rFonts w:hint="eastAsia" w:ascii="宋体" w:hAnsi="宋体" w:eastAsia="宋体" w:cs="宋体"/>
          <w:b/>
          <w:bCs/>
          <w:kern w:val="2"/>
          <w:sz w:val="32"/>
          <w:szCs w:val="32"/>
        </w:rPr>
        <w:t>20</w:t>
      </w:r>
      <w:r>
        <w:rPr>
          <w:rFonts w:hint="eastAsia" w:ascii="宋体" w:hAnsi="宋体" w:eastAsia="宋体" w:cs="宋体"/>
          <w:b/>
          <w:bCs/>
          <w:kern w:val="2"/>
          <w:sz w:val="32"/>
          <w:szCs w:val="32"/>
          <w:lang w:val="en-US" w:eastAsia="zh-CN"/>
        </w:rPr>
        <w:t>20</w:t>
      </w:r>
      <w:r>
        <w:rPr>
          <w:rFonts w:hint="eastAsia" w:ascii="宋体" w:hAnsi="宋体" w:eastAsia="宋体" w:cs="宋体"/>
          <w:b/>
          <w:bCs/>
          <w:kern w:val="2"/>
          <w:sz w:val="32"/>
          <w:szCs w:val="32"/>
        </w:rPr>
        <w:t>年</w:t>
      </w:r>
      <w:r>
        <w:rPr>
          <w:rFonts w:hint="eastAsia" w:ascii="宋体" w:hAnsi="宋体" w:eastAsia="宋体" w:cs="宋体"/>
          <w:b/>
          <w:bCs/>
          <w:kern w:val="2"/>
          <w:sz w:val="32"/>
          <w:szCs w:val="32"/>
          <w:lang w:val="en-US" w:eastAsia="zh-CN"/>
        </w:rPr>
        <w:t>9</w:t>
      </w:r>
      <w:r>
        <w:rPr>
          <w:rFonts w:hint="eastAsia" w:ascii="宋体" w:hAnsi="宋体" w:eastAsia="宋体" w:cs="宋体"/>
          <w:b/>
          <w:bCs/>
          <w:kern w:val="2"/>
          <w:sz w:val="32"/>
          <w:szCs w:val="32"/>
        </w:rPr>
        <w:t>月</w:t>
      </w:r>
    </w:p>
    <w:p>
      <w:pPr>
        <w:spacing w:beforeLines="50"/>
        <w:jc w:val="center"/>
        <w:outlineLvl w:val="0"/>
        <w:rPr>
          <w:rFonts w:ascii="宋体" w:hAnsi="宋体" w:eastAsia="宋体" w:cs="宋体"/>
          <w:b/>
          <w:bCs/>
          <w:kern w:val="2"/>
          <w:sz w:val="44"/>
          <w:szCs w:val="44"/>
        </w:rPr>
      </w:pPr>
      <w:r>
        <w:rPr>
          <w:rFonts w:hint="eastAsia" w:ascii="宋体" w:hAnsi="宋体" w:eastAsia="宋体" w:cs="宋体"/>
          <w:b/>
          <w:bCs/>
          <w:kern w:val="2"/>
          <w:sz w:val="44"/>
          <w:szCs w:val="44"/>
        </w:rPr>
        <w:t>目  录</w:t>
      </w:r>
    </w:p>
    <w:p>
      <w:pPr>
        <w:spacing w:beforeLines="50"/>
        <w:ind w:firstLine="321" w:firstLineChars="100"/>
        <w:jc w:val="both"/>
        <w:outlineLvl w:val="0"/>
        <w:rPr>
          <w:rFonts w:ascii="宋体" w:hAnsi="宋体" w:eastAsia="宋体" w:cs="宋体"/>
          <w:b/>
          <w:bCs/>
          <w:kern w:val="2"/>
          <w:sz w:val="32"/>
          <w:szCs w:val="32"/>
        </w:rPr>
      </w:pPr>
      <w:r>
        <w:rPr>
          <w:rFonts w:hint="eastAsia" w:ascii="宋体" w:hAnsi="宋体" w:eastAsia="宋体" w:cs="宋体"/>
          <w:b/>
          <w:bCs/>
          <w:kern w:val="2"/>
          <w:sz w:val="32"/>
          <w:szCs w:val="32"/>
        </w:rPr>
        <w:t>第一部分  磋商邀请函..........................2</w:t>
      </w:r>
    </w:p>
    <w:p>
      <w:pPr>
        <w:spacing w:beforeLines="50"/>
        <w:ind w:firstLine="321" w:firstLineChars="100"/>
        <w:jc w:val="both"/>
        <w:outlineLvl w:val="0"/>
        <w:rPr>
          <w:rFonts w:ascii="宋体" w:hAnsi="宋体" w:eastAsia="宋体" w:cs="宋体"/>
          <w:b/>
          <w:bCs/>
          <w:kern w:val="2"/>
          <w:sz w:val="32"/>
          <w:szCs w:val="32"/>
        </w:rPr>
      </w:pPr>
      <w:r>
        <w:rPr>
          <w:rFonts w:hint="eastAsia" w:ascii="宋体" w:hAnsi="宋体" w:eastAsia="宋体" w:cs="宋体"/>
          <w:b/>
          <w:bCs/>
          <w:kern w:val="2"/>
          <w:sz w:val="32"/>
          <w:szCs w:val="32"/>
        </w:rPr>
        <w:t>第二部分  磋商项目要求........................6</w:t>
      </w:r>
    </w:p>
    <w:p>
      <w:pPr>
        <w:spacing w:beforeLines="50"/>
        <w:ind w:firstLine="964" w:firstLineChars="300"/>
        <w:jc w:val="both"/>
        <w:outlineLvl w:val="1"/>
        <w:rPr>
          <w:rFonts w:ascii="宋体" w:hAnsi="宋体" w:eastAsia="宋体" w:cs="宋体"/>
          <w:b/>
          <w:bCs/>
          <w:kern w:val="2"/>
          <w:sz w:val="32"/>
          <w:szCs w:val="32"/>
        </w:rPr>
      </w:pPr>
      <w:r>
        <w:rPr>
          <w:rFonts w:hint="eastAsia" w:ascii="宋体" w:hAnsi="宋体" w:eastAsia="宋体" w:cs="宋体"/>
          <w:b/>
          <w:bCs/>
          <w:kern w:val="2"/>
          <w:sz w:val="32"/>
          <w:szCs w:val="32"/>
        </w:rPr>
        <w:t>一、内容要求............................</w:t>
      </w:r>
      <w:r>
        <w:rPr>
          <w:rFonts w:hint="eastAsia" w:ascii="宋体" w:hAnsi="宋体" w:eastAsia="宋体" w:cs="宋体"/>
          <w:b/>
          <w:bCs/>
          <w:kern w:val="2"/>
          <w:sz w:val="32"/>
          <w:szCs w:val="32"/>
          <w:lang w:val="en-US" w:eastAsia="zh-CN"/>
        </w:rPr>
        <w:t>..</w:t>
      </w:r>
      <w:r>
        <w:rPr>
          <w:rFonts w:hint="eastAsia" w:ascii="宋体" w:hAnsi="宋体" w:eastAsia="宋体" w:cs="宋体"/>
          <w:b/>
          <w:bCs/>
          <w:kern w:val="2"/>
          <w:sz w:val="32"/>
          <w:szCs w:val="32"/>
        </w:rPr>
        <w:t>6</w:t>
      </w:r>
    </w:p>
    <w:p>
      <w:pPr>
        <w:spacing w:beforeLines="50"/>
        <w:ind w:firstLine="964" w:firstLineChars="300"/>
        <w:jc w:val="both"/>
        <w:outlineLvl w:val="1"/>
        <w:rPr>
          <w:rFonts w:ascii="宋体" w:hAnsi="宋体" w:eastAsia="宋体" w:cs="宋体"/>
          <w:b/>
          <w:bCs/>
          <w:kern w:val="2"/>
          <w:sz w:val="32"/>
          <w:szCs w:val="32"/>
        </w:rPr>
      </w:pPr>
      <w:r>
        <w:rPr>
          <w:rFonts w:hint="eastAsia" w:ascii="宋体" w:hAnsi="宋体" w:eastAsia="宋体" w:cs="宋体"/>
          <w:b/>
          <w:bCs/>
          <w:kern w:val="2"/>
          <w:sz w:val="32"/>
          <w:szCs w:val="32"/>
        </w:rPr>
        <w:t>二、实质性资格要求......................</w:t>
      </w:r>
      <w:r>
        <w:rPr>
          <w:rFonts w:hint="eastAsia" w:ascii="宋体" w:hAnsi="宋体" w:eastAsia="宋体" w:cs="宋体"/>
          <w:b/>
          <w:bCs/>
          <w:kern w:val="2"/>
          <w:sz w:val="32"/>
          <w:szCs w:val="32"/>
          <w:lang w:val="en-US" w:eastAsia="zh-CN"/>
        </w:rPr>
        <w:t>..</w:t>
      </w:r>
      <w:r>
        <w:rPr>
          <w:rFonts w:hint="eastAsia" w:ascii="宋体" w:hAnsi="宋体" w:eastAsia="宋体" w:cs="宋体"/>
          <w:b/>
          <w:bCs/>
          <w:kern w:val="2"/>
          <w:sz w:val="32"/>
          <w:szCs w:val="32"/>
        </w:rPr>
        <w:t>6</w:t>
      </w:r>
    </w:p>
    <w:p>
      <w:pPr>
        <w:spacing w:beforeLines="50"/>
        <w:ind w:firstLine="964" w:firstLineChars="300"/>
        <w:jc w:val="both"/>
        <w:outlineLvl w:val="1"/>
        <w:rPr>
          <w:rFonts w:ascii="宋体" w:hAnsi="宋体" w:eastAsia="宋体" w:cs="宋体"/>
          <w:b/>
          <w:bCs/>
          <w:kern w:val="2"/>
          <w:sz w:val="32"/>
          <w:szCs w:val="32"/>
        </w:rPr>
      </w:pPr>
      <w:r>
        <w:rPr>
          <w:rFonts w:hint="eastAsia" w:ascii="宋体" w:hAnsi="宋体" w:eastAsia="宋体" w:cs="宋体"/>
          <w:b/>
          <w:bCs/>
          <w:kern w:val="2"/>
          <w:sz w:val="32"/>
          <w:szCs w:val="32"/>
        </w:rPr>
        <w:t>三、资信要求............................</w:t>
      </w:r>
      <w:r>
        <w:rPr>
          <w:rFonts w:hint="eastAsia" w:ascii="宋体" w:hAnsi="宋体" w:eastAsia="宋体" w:cs="宋体"/>
          <w:b/>
          <w:bCs/>
          <w:kern w:val="2"/>
          <w:sz w:val="32"/>
          <w:szCs w:val="32"/>
          <w:lang w:val="en-US" w:eastAsia="zh-CN"/>
        </w:rPr>
        <w:t>..</w:t>
      </w:r>
      <w:r>
        <w:rPr>
          <w:rFonts w:hint="eastAsia" w:ascii="宋体" w:hAnsi="宋体" w:eastAsia="宋体" w:cs="宋体"/>
          <w:b/>
          <w:bCs/>
          <w:kern w:val="2"/>
          <w:sz w:val="32"/>
          <w:szCs w:val="32"/>
        </w:rPr>
        <w:t>7</w:t>
      </w:r>
    </w:p>
    <w:p>
      <w:pPr>
        <w:spacing w:beforeLines="50"/>
        <w:ind w:firstLine="964" w:firstLineChars="300"/>
        <w:jc w:val="both"/>
        <w:outlineLvl w:val="1"/>
        <w:rPr>
          <w:rFonts w:ascii="宋体" w:hAnsi="宋体" w:eastAsia="宋体" w:cs="宋体"/>
          <w:b/>
          <w:bCs/>
          <w:kern w:val="2"/>
          <w:sz w:val="32"/>
          <w:szCs w:val="32"/>
        </w:rPr>
      </w:pPr>
      <w:r>
        <w:rPr>
          <w:rFonts w:hint="eastAsia" w:ascii="宋体" w:hAnsi="宋体" w:eastAsia="宋体" w:cs="宋体"/>
          <w:b/>
          <w:bCs/>
          <w:kern w:val="2"/>
          <w:sz w:val="32"/>
          <w:szCs w:val="32"/>
        </w:rPr>
        <w:t>四、投标人实施能力......................</w:t>
      </w:r>
      <w:r>
        <w:rPr>
          <w:rFonts w:hint="eastAsia" w:ascii="宋体" w:hAnsi="宋体" w:eastAsia="宋体" w:cs="宋体"/>
          <w:b/>
          <w:bCs/>
          <w:kern w:val="2"/>
          <w:sz w:val="32"/>
          <w:szCs w:val="32"/>
          <w:lang w:val="en-US" w:eastAsia="zh-CN"/>
        </w:rPr>
        <w:t>..</w:t>
      </w:r>
      <w:r>
        <w:rPr>
          <w:rFonts w:hint="eastAsia" w:ascii="宋体" w:hAnsi="宋体" w:eastAsia="宋体" w:cs="宋体"/>
          <w:b/>
          <w:bCs/>
          <w:kern w:val="2"/>
          <w:sz w:val="32"/>
          <w:szCs w:val="32"/>
        </w:rPr>
        <w:t>7</w:t>
      </w:r>
    </w:p>
    <w:p>
      <w:pPr>
        <w:spacing w:beforeLines="50"/>
        <w:ind w:firstLine="964" w:firstLineChars="300"/>
        <w:jc w:val="both"/>
        <w:outlineLvl w:val="1"/>
        <w:rPr>
          <w:rFonts w:hint="eastAsia" w:ascii="宋体" w:hAnsi="宋体" w:eastAsia="宋体" w:cs="宋体"/>
          <w:b/>
          <w:bCs/>
          <w:kern w:val="2"/>
          <w:sz w:val="32"/>
          <w:szCs w:val="32"/>
          <w:lang w:eastAsia="zh-CN"/>
        </w:rPr>
      </w:pPr>
      <w:r>
        <w:rPr>
          <w:rFonts w:hint="eastAsia" w:ascii="宋体" w:hAnsi="宋体" w:eastAsia="宋体" w:cs="宋体"/>
          <w:b/>
          <w:bCs/>
          <w:kern w:val="2"/>
          <w:sz w:val="32"/>
          <w:szCs w:val="32"/>
        </w:rPr>
        <w:t>五、商务要求............................</w:t>
      </w:r>
      <w:r>
        <w:rPr>
          <w:rFonts w:hint="eastAsia" w:ascii="宋体" w:hAnsi="宋体" w:eastAsia="宋体" w:cs="宋体"/>
          <w:b/>
          <w:bCs/>
          <w:kern w:val="2"/>
          <w:sz w:val="32"/>
          <w:szCs w:val="32"/>
          <w:lang w:val="en-US" w:eastAsia="zh-CN"/>
        </w:rPr>
        <w:t>..7</w:t>
      </w:r>
    </w:p>
    <w:p>
      <w:pPr>
        <w:spacing w:beforeLines="50"/>
        <w:ind w:firstLine="964" w:firstLineChars="300"/>
        <w:jc w:val="both"/>
        <w:outlineLvl w:val="1"/>
        <w:rPr>
          <w:rFonts w:ascii="宋体" w:hAnsi="宋体" w:eastAsia="宋体" w:cs="宋体"/>
          <w:b/>
          <w:bCs/>
          <w:kern w:val="2"/>
          <w:sz w:val="32"/>
          <w:szCs w:val="32"/>
        </w:rPr>
      </w:pPr>
      <w:r>
        <w:rPr>
          <w:rFonts w:hint="eastAsia" w:ascii="宋体" w:hAnsi="宋体" w:eastAsia="宋体" w:cs="宋体"/>
          <w:b/>
          <w:bCs/>
          <w:kern w:val="2"/>
          <w:sz w:val="32"/>
          <w:szCs w:val="32"/>
        </w:rPr>
        <w:t>六、磋商程序............................</w:t>
      </w:r>
      <w:r>
        <w:rPr>
          <w:rFonts w:hint="eastAsia" w:ascii="宋体" w:hAnsi="宋体" w:eastAsia="宋体" w:cs="宋体"/>
          <w:b/>
          <w:bCs/>
          <w:kern w:val="2"/>
          <w:sz w:val="32"/>
          <w:szCs w:val="32"/>
          <w:lang w:val="en-US" w:eastAsia="zh-CN"/>
        </w:rPr>
        <w:t>..</w:t>
      </w:r>
      <w:r>
        <w:rPr>
          <w:rFonts w:hint="eastAsia" w:ascii="宋体" w:hAnsi="宋体" w:eastAsia="宋体" w:cs="宋体"/>
          <w:b/>
          <w:bCs/>
          <w:kern w:val="2"/>
          <w:sz w:val="32"/>
          <w:szCs w:val="32"/>
        </w:rPr>
        <w:t>9</w:t>
      </w:r>
    </w:p>
    <w:p>
      <w:pPr>
        <w:spacing w:beforeLines="50"/>
        <w:ind w:firstLine="964" w:firstLineChars="300"/>
        <w:jc w:val="both"/>
        <w:outlineLvl w:val="1"/>
        <w:rPr>
          <w:rFonts w:hint="eastAsia" w:ascii="宋体" w:hAnsi="宋体" w:eastAsia="宋体" w:cs="宋体"/>
          <w:b/>
          <w:bCs/>
          <w:kern w:val="2"/>
          <w:sz w:val="32"/>
          <w:szCs w:val="32"/>
          <w:lang w:eastAsia="zh-CN"/>
        </w:rPr>
      </w:pPr>
      <w:r>
        <w:rPr>
          <w:rFonts w:hint="eastAsia" w:ascii="宋体" w:hAnsi="宋体" w:eastAsia="宋体" w:cs="宋体"/>
          <w:b/>
          <w:bCs/>
          <w:kern w:val="2"/>
          <w:sz w:val="32"/>
          <w:szCs w:val="32"/>
        </w:rPr>
        <w:t>七、评审方法及标准.....................</w:t>
      </w:r>
      <w:r>
        <w:rPr>
          <w:rFonts w:hint="eastAsia" w:ascii="宋体" w:hAnsi="宋体" w:eastAsia="宋体" w:cs="宋体"/>
          <w:b/>
          <w:bCs/>
          <w:kern w:val="2"/>
          <w:sz w:val="32"/>
          <w:szCs w:val="32"/>
          <w:lang w:val="en-US" w:eastAsia="zh-CN"/>
        </w:rPr>
        <w:t>..</w:t>
      </w:r>
      <w:r>
        <w:rPr>
          <w:rFonts w:hint="eastAsia" w:ascii="宋体" w:hAnsi="宋体" w:eastAsia="宋体" w:cs="宋体"/>
          <w:b/>
          <w:bCs/>
          <w:kern w:val="2"/>
          <w:sz w:val="32"/>
          <w:szCs w:val="32"/>
        </w:rPr>
        <w:t>1</w:t>
      </w:r>
      <w:r>
        <w:rPr>
          <w:rFonts w:hint="eastAsia" w:ascii="宋体" w:hAnsi="宋体" w:eastAsia="宋体" w:cs="宋体"/>
          <w:b/>
          <w:bCs/>
          <w:kern w:val="2"/>
          <w:sz w:val="32"/>
          <w:szCs w:val="32"/>
          <w:lang w:val="en-US" w:eastAsia="zh-CN"/>
        </w:rPr>
        <w:t>1</w:t>
      </w:r>
    </w:p>
    <w:p>
      <w:pPr>
        <w:spacing w:beforeLines="50"/>
        <w:ind w:firstLine="964" w:firstLineChars="300"/>
        <w:jc w:val="both"/>
        <w:outlineLvl w:val="1"/>
        <w:rPr>
          <w:rFonts w:hint="eastAsia" w:ascii="宋体" w:hAnsi="宋体" w:eastAsia="宋体" w:cs="宋体"/>
          <w:b/>
          <w:bCs/>
          <w:kern w:val="2"/>
          <w:sz w:val="32"/>
          <w:szCs w:val="32"/>
          <w:lang w:val="en-US" w:eastAsia="zh-CN"/>
        </w:rPr>
      </w:pPr>
      <w:r>
        <w:rPr>
          <w:rFonts w:hint="eastAsia" w:ascii="宋体" w:hAnsi="宋体" w:eastAsia="宋体" w:cs="宋体"/>
          <w:b/>
          <w:bCs/>
          <w:kern w:val="2"/>
          <w:sz w:val="32"/>
          <w:szCs w:val="32"/>
        </w:rPr>
        <w:t>八、其他注意事项.......................</w:t>
      </w:r>
      <w:r>
        <w:rPr>
          <w:rFonts w:hint="eastAsia" w:ascii="宋体" w:hAnsi="宋体" w:eastAsia="宋体" w:cs="宋体"/>
          <w:b/>
          <w:bCs/>
          <w:kern w:val="2"/>
          <w:sz w:val="32"/>
          <w:szCs w:val="32"/>
          <w:lang w:val="en-US" w:eastAsia="zh-CN"/>
        </w:rPr>
        <w:t>..</w:t>
      </w:r>
      <w:r>
        <w:rPr>
          <w:rFonts w:hint="eastAsia" w:ascii="宋体" w:hAnsi="宋体" w:eastAsia="宋体" w:cs="宋体"/>
          <w:b/>
          <w:bCs/>
          <w:kern w:val="2"/>
          <w:sz w:val="32"/>
          <w:szCs w:val="32"/>
        </w:rPr>
        <w:t>1</w:t>
      </w:r>
      <w:r>
        <w:rPr>
          <w:rFonts w:hint="eastAsia" w:ascii="宋体" w:hAnsi="宋体" w:eastAsia="宋体" w:cs="宋体"/>
          <w:b/>
          <w:bCs/>
          <w:kern w:val="2"/>
          <w:sz w:val="32"/>
          <w:szCs w:val="32"/>
          <w:lang w:val="en-US" w:eastAsia="zh-CN"/>
        </w:rPr>
        <w:t>5</w:t>
      </w:r>
    </w:p>
    <w:p>
      <w:pPr>
        <w:spacing w:beforeLines="50"/>
        <w:jc w:val="both"/>
        <w:outlineLvl w:val="0"/>
        <w:rPr>
          <w:rFonts w:hint="eastAsia" w:ascii="宋体" w:hAnsi="宋体" w:eastAsia="宋体" w:cs="宋体"/>
          <w:b/>
          <w:bCs/>
          <w:kern w:val="2"/>
          <w:sz w:val="32"/>
          <w:szCs w:val="32"/>
          <w:lang w:eastAsia="zh-CN"/>
        </w:rPr>
      </w:pPr>
      <w:r>
        <w:rPr>
          <w:rFonts w:hint="eastAsia" w:ascii="宋体" w:hAnsi="宋体" w:eastAsia="宋体" w:cs="宋体"/>
          <w:b/>
          <w:bCs/>
          <w:kern w:val="2"/>
          <w:sz w:val="32"/>
          <w:szCs w:val="32"/>
        </w:rPr>
        <w:t xml:space="preserve"> </w:t>
      </w:r>
      <w:r>
        <w:rPr>
          <w:rFonts w:hint="eastAsia" w:ascii="宋体" w:hAnsi="宋体" w:eastAsia="宋体" w:cs="宋体"/>
          <w:b/>
          <w:bCs/>
          <w:kern w:val="2"/>
          <w:sz w:val="32"/>
          <w:szCs w:val="32"/>
          <w:lang w:val="en-US" w:eastAsia="zh-CN"/>
        </w:rPr>
        <w:t xml:space="preserve"> </w:t>
      </w:r>
      <w:r>
        <w:rPr>
          <w:rFonts w:hint="eastAsia" w:ascii="宋体" w:hAnsi="宋体" w:eastAsia="宋体" w:cs="宋体"/>
          <w:b/>
          <w:bCs/>
          <w:kern w:val="2"/>
          <w:sz w:val="32"/>
          <w:szCs w:val="32"/>
        </w:rPr>
        <w:t>第三部分  项目需求书.......................</w:t>
      </w:r>
      <w:r>
        <w:rPr>
          <w:rFonts w:hint="eastAsia" w:ascii="宋体" w:hAnsi="宋体" w:eastAsia="宋体" w:cs="宋体"/>
          <w:b/>
          <w:bCs/>
          <w:kern w:val="2"/>
          <w:sz w:val="32"/>
          <w:szCs w:val="32"/>
          <w:lang w:val="en-US" w:eastAsia="zh-CN"/>
        </w:rPr>
        <w:t>..</w:t>
      </w:r>
      <w:r>
        <w:rPr>
          <w:rFonts w:hint="eastAsia" w:ascii="宋体" w:hAnsi="宋体" w:eastAsia="宋体" w:cs="宋体"/>
          <w:b/>
          <w:bCs/>
          <w:kern w:val="2"/>
          <w:sz w:val="32"/>
          <w:szCs w:val="32"/>
        </w:rPr>
        <w:t>1</w:t>
      </w:r>
      <w:r>
        <w:rPr>
          <w:rFonts w:hint="eastAsia" w:ascii="宋体" w:hAnsi="宋体" w:eastAsia="宋体" w:cs="宋体"/>
          <w:b/>
          <w:bCs/>
          <w:kern w:val="2"/>
          <w:sz w:val="32"/>
          <w:szCs w:val="32"/>
          <w:lang w:val="en-US" w:eastAsia="zh-CN"/>
        </w:rPr>
        <w:t>8</w:t>
      </w:r>
    </w:p>
    <w:p>
      <w:pPr>
        <w:spacing w:beforeLines="50"/>
        <w:ind w:firstLine="321" w:firstLineChars="100"/>
        <w:jc w:val="both"/>
        <w:outlineLvl w:val="0"/>
        <w:rPr>
          <w:rFonts w:hint="eastAsia" w:ascii="宋体" w:hAnsi="宋体" w:eastAsia="宋体" w:cs="宋体"/>
          <w:b/>
          <w:bCs/>
          <w:kern w:val="2"/>
          <w:sz w:val="32"/>
          <w:szCs w:val="32"/>
          <w:lang w:val="en-US" w:eastAsia="zh-CN"/>
        </w:rPr>
      </w:pPr>
      <w:r>
        <w:rPr>
          <w:rFonts w:hint="eastAsia" w:ascii="宋体" w:hAnsi="宋体" w:eastAsia="宋体" w:cs="宋体"/>
          <w:b/>
          <w:bCs/>
          <w:kern w:val="2"/>
          <w:sz w:val="32"/>
          <w:szCs w:val="32"/>
        </w:rPr>
        <w:t>第四部分  投 标 须 知......................</w:t>
      </w:r>
      <w:r>
        <w:rPr>
          <w:rFonts w:hint="eastAsia" w:ascii="宋体" w:hAnsi="宋体" w:eastAsia="宋体" w:cs="宋体"/>
          <w:b/>
          <w:bCs/>
          <w:kern w:val="2"/>
          <w:sz w:val="32"/>
          <w:szCs w:val="32"/>
          <w:lang w:val="en-US" w:eastAsia="zh-CN"/>
        </w:rPr>
        <w:t>..</w:t>
      </w:r>
      <w:r>
        <w:rPr>
          <w:rFonts w:hint="eastAsia" w:ascii="宋体" w:hAnsi="宋体" w:eastAsia="宋体" w:cs="宋体"/>
          <w:b/>
          <w:bCs/>
          <w:kern w:val="2"/>
          <w:sz w:val="32"/>
          <w:szCs w:val="32"/>
        </w:rPr>
        <w:t>2</w:t>
      </w:r>
      <w:r>
        <w:rPr>
          <w:rFonts w:hint="eastAsia" w:ascii="宋体" w:hAnsi="宋体" w:eastAsia="宋体" w:cs="宋体"/>
          <w:b/>
          <w:bCs/>
          <w:kern w:val="2"/>
          <w:sz w:val="32"/>
          <w:szCs w:val="32"/>
          <w:lang w:val="en-US" w:eastAsia="zh-CN"/>
        </w:rPr>
        <w:t>1</w:t>
      </w:r>
    </w:p>
    <w:p>
      <w:pPr>
        <w:spacing w:beforeLines="50"/>
        <w:ind w:firstLine="321" w:firstLineChars="100"/>
        <w:jc w:val="both"/>
        <w:outlineLvl w:val="0"/>
        <w:rPr>
          <w:rFonts w:hint="eastAsia" w:ascii="宋体" w:hAnsi="宋体" w:eastAsia="宋体" w:cs="宋体"/>
          <w:b/>
          <w:bCs/>
          <w:kern w:val="2"/>
          <w:sz w:val="32"/>
          <w:szCs w:val="32"/>
          <w:lang w:eastAsia="zh-CN"/>
        </w:rPr>
      </w:pPr>
      <w:r>
        <w:rPr>
          <w:rFonts w:hint="eastAsia" w:ascii="宋体" w:hAnsi="宋体" w:eastAsia="宋体" w:cs="宋体"/>
          <w:b/>
          <w:bCs/>
          <w:kern w:val="2"/>
          <w:sz w:val="32"/>
          <w:szCs w:val="32"/>
        </w:rPr>
        <w:t>第五部分  合 同 草 案 .....................</w:t>
      </w:r>
      <w:r>
        <w:rPr>
          <w:rFonts w:hint="eastAsia" w:ascii="宋体" w:hAnsi="宋体" w:eastAsia="宋体" w:cs="宋体"/>
          <w:b/>
          <w:bCs/>
          <w:kern w:val="2"/>
          <w:sz w:val="32"/>
          <w:szCs w:val="32"/>
          <w:lang w:val="en-US" w:eastAsia="zh-CN"/>
        </w:rPr>
        <w:t>..</w:t>
      </w:r>
      <w:r>
        <w:rPr>
          <w:rFonts w:hint="eastAsia" w:ascii="宋体" w:hAnsi="宋体" w:eastAsia="宋体" w:cs="宋体"/>
          <w:b/>
          <w:bCs/>
          <w:kern w:val="2"/>
          <w:sz w:val="32"/>
          <w:szCs w:val="32"/>
        </w:rPr>
        <w:t>2</w:t>
      </w:r>
      <w:r>
        <w:rPr>
          <w:rFonts w:hint="eastAsia" w:ascii="宋体" w:hAnsi="宋体" w:eastAsia="宋体" w:cs="宋体"/>
          <w:b/>
          <w:bCs/>
          <w:kern w:val="2"/>
          <w:sz w:val="32"/>
          <w:szCs w:val="32"/>
          <w:lang w:val="en-US" w:eastAsia="zh-CN"/>
        </w:rPr>
        <w:t>4</w:t>
      </w:r>
    </w:p>
    <w:p>
      <w:pPr>
        <w:spacing w:beforeLines="50"/>
        <w:ind w:firstLine="321" w:firstLineChars="100"/>
        <w:jc w:val="both"/>
        <w:outlineLvl w:val="0"/>
        <w:rPr>
          <w:rFonts w:hint="default" w:ascii="宋体" w:hAnsi="宋体" w:eastAsia="宋体" w:cs="宋体"/>
          <w:b/>
          <w:bCs/>
          <w:kern w:val="2"/>
          <w:sz w:val="32"/>
          <w:szCs w:val="32"/>
          <w:lang w:val="en-US" w:eastAsia="zh-CN"/>
        </w:rPr>
      </w:pPr>
      <w:r>
        <w:rPr>
          <w:rFonts w:hint="eastAsia" w:ascii="宋体" w:hAnsi="宋体" w:eastAsia="宋体" w:cs="宋体"/>
          <w:b/>
          <w:bCs/>
          <w:kern w:val="2"/>
          <w:sz w:val="32"/>
          <w:szCs w:val="32"/>
        </w:rPr>
        <w:t>第六部分  响应文件格式.....................</w:t>
      </w:r>
      <w:r>
        <w:rPr>
          <w:rFonts w:hint="eastAsia" w:ascii="宋体" w:hAnsi="宋体" w:eastAsia="宋体" w:cs="宋体"/>
          <w:b/>
          <w:bCs/>
          <w:kern w:val="2"/>
          <w:sz w:val="32"/>
          <w:szCs w:val="32"/>
          <w:lang w:val="en-US" w:eastAsia="zh-CN"/>
        </w:rPr>
        <w:t>..27</w:t>
      </w:r>
    </w:p>
    <w:p>
      <w:pPr>
        <w:spacing w:beforeLines="50"/>
        <w:ind w:firstLine="964" w:firstLineChars="300"/>
        <w:jc w:val="both"/>
        <w:rPr>
          <w:rFonts w:ascii="宋体" w:hAnsi="宋体" w:eastAsia="宋体" w:cs="宋体"/>
          <w:b/>
          <w:bCs/>
          <w:kern w:val="2"/>
          <w:sz w:val="32"/>
          <w:szCs w:val="32"/>
        </w:rPr>
      </w:pPr>
      <w:r>
        <w:rPr>
          <w:rFonts w:hint="eastAsia" w:ascii="宋体" w:hAnsi="宋体" w:eastAsia="宋体" w:cs="宋体"/>
          <w:b/>
          <w:bCs/>
          <w:kern w:val="2"/>
          <w:sz w:val="32"/>
          <w:szCs w:val="32"/>
        </w:rPr>
        <w:t xml:space="preserve"> </w:t>
      </w:r>
    </w:p>
    <w:p>
      <w:pPr>
        <w:spacing w:beforeLines="50"/>
        <w:ind w:firstLine="964" w:firstLineChars="300"/>
        <w:jc w:val="both"/>
        <w:rPr>
          <w:rFonts w:ascii="宋体" w:hAnsi="宋体" w:eastAsia="宋体" w:cs="宋体"/>
          <w:b/>
          <w:bCs/>
          <w:kern w:val="2"/>
          <w:sz w:val="32"/>
          <w:szCs w:val="32"/>
        </w:rPr>
      </w:pPr>
      <w:r>
        <w:rPr>
          <w:rFonts w:hint="eastAsia" w:ascii="宋体" w:hAnsi="宋体" w:eastAsia="宋体" w:cs="宋体"/>
          <w:b/>
          <w:bCs/>
          <w:kern w:val="2"/>
          <w:sz w:val="32"/>
          <w:szCs w:val="32"/>
        </w:rPr>
        <w:t xml:space="preserve"> </w:t>
      </w:r>
    </w:p>
    <w:p>
      <w:pPr>
        <w:spacing w:beforeLines="50"/>
        <w:ind w:firstLine="964" w:firstLineChars="300"/>
        <w:jc w:val="both"/>
        <w:rPr>
          <w:rFonts w:ascii="宋体" w:hAnsi="宋体" w:eastAsia="宋体" w:cs="宋体"/>
          <w:b/>
          <w:bCs/>
          <w:kern w:val="2"/>
          <w:sz w:val="32"/>
          <w:szCs w:val="32"/>
        </w:rPr>
      </w:pPr>
    </w:p>
    <w:p>
      <w:pPr>
        <w:spacing w:beforeLines="50"/>
        <w:ind w:firstLine="964" w:firstLineChars="300"/>
        <w:jc w:val="both"/>
        <w:rPr>
          <w:rFonts w:ascii="宋体" w:hAnsi="宋体" w:eastAsia="宋体" w:cs="宋体"/>
          <w:b/>
          <w:bCs/>
          <w:kern w:val="2"/>
          <w:sz w:val="32"/>
          <w:szCs w:val="32"/>
        </w:rPr>
      </w:pPr>
    </w:p>
    <w:p>
      <w:pPr>
        <w:spacing w:beforeLines="50"/>
        <w:ind w:firstLine="964" w:firstLineChars="300"/>
        <w:jc w:val="both"/>
        <w:rPr>
          <w:rFonts w:ascii="宋体" w:hAnsi="宋体" w:eastAsia="宋体" w:cs="宋体"/>
          <w:b/>
          <w:bCs/>
          <w:kern w:val="2"/>
          <w:sz w:val="32"/>
          <w:szCs w:val="32"/>
        </w:rPr>
      </w:pPr>
    </w:p>
    <w:p>
      <w:pPr>
        <w:spacing w:beforeLines="50"/>
        <w:ind w:firstLine="964" w:firstLineChars="300"/>
        <w:jc w:val="both"/>
        <w:rPr>
          <w:rFonts w:ascii="宋体" w:hAnsi="宋体" w:eastAsia="宋体" w:cs="宋体"/>
          <w:b/>
          <w:bCs/>
          <w:kern w:val="2"/>
          <w:sz w:val="32"/>
          <w:szCs w:val="32"/>
        </w:rPr>
      </w:pPr>
    </w:p>
    <w:p>
      <w:pPr>
        <w:spacing w:beforeLines="50"/>
        <w:jc w:val="both"/>
        <w:rPr>
          <w:rFonts w:hint="eastAsia" w:ascii="宋体" w:hAnsi="宋体" w:eastAsia="宋体" w:cs="宋体"/>
          <w:b/>
          <w:bCs/>
          <w:kern w:val="2"/>
          <w:sz w:val="32"/>
          <w:szCs w:val="32"/>
        </w:rPr>
      </w:pPr>
    </w:p>
    <w:p>
      <w:pPr>
        <w:spacing w:beforeLines="50"/>
        <w:jc w:val="center"/>
        <w:rPr>
          <w:rFonts w:asciiTheme="minorEastAsia" w:hAnsiTheme="minorEastAsia" w:eastAsiaTheme="minorEastAsia" w:cstheme="minorEastAsia"/>
          <w:b/>
          <w:sz w:val="28"/>
          <w:szCs w:val="28"/>
          <w:shd w:val="clear" w:color="auto" w:fill="FFFFFF"/>
        </w:rPr>
      </w:pPr>
      <w:r>
        <w:rPr>
          <w:rFonts w:hint="eastAsia" w:ascii="宋体" w:hAnsi="宋体" w:eastAsia="宋体" w:cs="宋体"/>
          <w:b/>
          <w:bCs/>
          <w:kern w:val="2"/>
          <w:sz w:val="32"/>
          <w:szCs w:val="32"/>
        </w:rPr>
        <w:t>第一部分  磋商邀请函</w:t>
      </w:r>
      <w:bookmarkEnd w:id="0"/>
      <w:bookmarkEnd w:id="1"/>
      <w:bookmarkEnd w:id="2"/>
      <w:bookmarkEnd w:id="3"/>
      <w:bookmarkEnd w:id="4"/>
      <w:bookmarkEnd w:id="5"/>
      <w:bookmarkEnd w:id="6"/>
      <w:bookmarkEnd w:id="7"/>
      <w:bookmarkEnd w:id="8"/>
      <w:bookmarkEnd w:id="9"/>
    </w:p>
    <w:p>
      <w:pPr>
        <w:pStyle w:val="23"/>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受</w:t>
      </w:r>
      <w:r>
        <w:rPr>
          <w:rFonts w:hint="eastAsia" w:ascii="宋体" w:hAnsi="宋体" w:eastAsia="宋体" w:cs="宋体"/>
          <w:color w:val="auto"/>
          <w:u w:val="single"/>
        </w:rPr>
        <w:t>天津市北辰区人民政府青源街道办事处</w:t>
      </w:r>
      <w:r>
        <w:rPr>
          <w:rFonts w:hint="eastAsia" w:ascii="宋体" w:hAnsi="宋体" w:eastAsia="宋体" w:cs="宋体"/>
          <w:color w:val="auto"/>
        </w:rPr>
        <w:t>委托，天津同力源工程咨询有限公司就</w:t>
      </w:r>
      <w:r>
        <w:rPr>
          <w:rFonts w:hint="eastAsia" w:ascii="宋体" w:hAnsi="宋体" w:eastAsia="宋体" w:cs="宋体"/>
          <w:color w:val="auto"/>
          <w:u w:val="single"/>
          <w:lang w:eastAsia="zh-CN"/>
        </w:rPr>
        <w:t>双青片区部分社区、道路市容环境清整项目</w:t>
      </w:r>
      <w:r>
        <w:rPr>
          <w:rFonts w:hint="eastAsia" w:ascii="宋体" w:hAnsi="宋体" w:eastAsia="宋体" w:cs="宋体"/>
          <w:color w:val="auto"/>
        </w:rPr>
        <w:t>进行竞争性磋商，现邀请合格的供应商参加磋商。</w:t>
      </w:r>
    </w:p>
    <w:p>
      <w:pPr>
        <w:pStyle w:val="23"/>
        <w:spacing w:line="360" w:lineRule="auto"/>
        <w:jc w:val="both"/>
        <w:outlineLvl w:val="1"/>
        <w:rPr>
          <w:rFonts w:ascii="宋体" w:hAnsi="宋体" w:eastAsia="宋体" w:cs="宋体"/>
          <w:color w:val="auto"/>
        </w:rPr>
      </w:pPr>
      <w:bookmarkStart w:id="10" w:name="_Toc23360"/>
      <w:bookmarkStart w:id="11" w:name="_Toc30754"/>
      <w:bookmarkStart w:id="12" w:name="_Toc10563"/>
      <w:bookmarkStart w:id="13" w:name="_Toc15885"/>
      <w:bookmarkStart w:id="14" w:name="_Toc21100"/>
      <w:bookmarkStart w:id="15" w:name="_Toc29184"/>
      <w:bookmarkStart w:id="16" w:name="_Toc13193"/>
      <w:bookmarkStart w:id="17" w:name="_Toc9779"/>
      <w:bookmarkStart w:id="18" w:name="_Toc22569"/>
      <w:bookmarkStart w:id="19" w:name="_Toc23770"/>
      <w:bookmarkStart w:id="20" w:name="_Toc10859"/>
      <w:bookmarkStart w:id="21" w:name="_Toc30445"/>
      <w:bookmarkStart w:id="22" w:name="_Toc24274"/>
      <w:r>
        <w:rPr>
          <w:rFonts w:hint="eastAsia" w:ascii="宋体" w:hAnsi="宋体" w:eastAsia="宋体" w:cs="宋体"/>
          <w:color w:val="auto"/>
        </w:rPr>
        <w:t>一、项目名称和编号：</w:t>
      </w:r>
      <w:bookmarkEnd w:id="10"/>
      <w:bookmarkEnd w:id="11"/>
      <w:bookmarkEnd w:id="12"/>
      <w:bookmarkEnd w:id="13"/>
      <w:bookmarkEnd w:id="14"/>
      <w:bookmarkEnd w:id="15"/>
    </w:p>
    <w:p>
      <w:pPr>
        <w:pStyle w:val="23"/>
        <w:spacing w:line="360" w:lineRule="auto"/>
        <w:jc w:val="both"/>
        <w:outlineLvl w:val="2"/>
        <w:rPr>
          <w:rFonts w:hint="eastAsia" w:ascii="宋体" w:hAnsi="宋体" w:eastAsia="宋体" w:cs="宋体"/>
          <w:color w:val="auto"/>
          <w:lang w:eastAsia="zh-CN"/>
        </w:rPr>
      </w:pPr>
      <w:r>
        <w:rPr>
          <w:rFonts w:hint="eastAsia" w:ascii="宋体" w:hAnsi="宋体" w:eastAsia="宋体" w:cs="宋体"/>
          <w:color w:val="auto"/>
        </w:rPr>
        <w:t>1.项目名称：</w:t>
      </w:r>
      <w:r>
        <w:rPr>
          <w:rFonts w:hint="eastAsia" w:ascii="宋体" w:hAnsi="宋体" w:eastAsia="宋体" w:cs="宋体"/>
          <w:color w:val="auto"/>
          <w:lang w:eastAsia="zh-CN"/>
        </w:rPr>
        <w:t>双青片区部分社区、道路市容环境清整项目</w:t>
      </w:r>
    </w:p>
    <w:p>
      <w:pPr>
        <w:pStyle w:val="23"/>
        <w:spacing w:line="360" w:lineRule="auto"/>
        <w:jc w:val="both"/>
        <w:outlineLvl w:val="2"/>
        <w:rPr>
          <w:rFonts w:hint="eastAsia" w:ascii="宋体" w:hAnsi="宋体" w:eastAsia="宋体" w:cs="宋体"/>
          <w:color w:val="auto"/>
          <w:lang w:val="en-US" w:eastAsia="zh-CN"/>
        </w:rPr>
      </w:pPr>
      <w:r>
        <w:rPr>
          <w:rFonts w:hint="eastAsia" w:ascii="宋体" w:hAnsi="宋体" w:eastAsia="宋体" w:cs="宋体"/>
          <w:color w:val="auto"/>
        </w:rPr>
        <w:t>2.项目编号：</w:t>
      </w:r>
      <w:r>
        <w:rPr>
          <w:rFonts w:hint="eastAsia" w:ascii="宋体" w:hAnsi="宋体" w:eastAsia="宋体" w:cs="宋体"/>
          <w:color w:val="auto"/>
          <w:lang w:eastAsia="zh-CN"/>
        </w:rPr>
        <w:t>BCJY-2020-C-011</w:t>
      </w:r>
    </w:p>
    <w:p>
      <w:pPr>
        <w:pStyle w:val="23"/>
        <w:spacing w:line="360" w:lineRule="auto"/>
        <w:jc w:val="both"/>
        <w:outlineLvl w:val="1"/>
        <w:rPr>
          <w:rFonts w:ascii="宋体" w:hAnsi="宋体" w:eastAsia="宋体" w:cs="宋体"/>
          <w:color w:val="auto"/>
        </w:rPr>
      </w:pPr>
      <w:bookmarkStart w:id="23" w:name="_Toc29324"/>
      <w:bookmarkStart w:id="24" w:name="_Toc21468"/>
      <w:bookmarkStart w:id="25" w:name="_Toc10338"/>
      <w:bookmarkStart w:id="26" w:name="_Toc26080"/>
      <w:bookmarkStart w:id="27" w:name="_Toc17650"/>
      <w:bookmarkStart w:id="28" w:name="_Toc13654"/>
      <w:r>
        <w:rPr>
          <w:rFonts w:hint="eastAsia" w:ascii="宋体" w:hAnsi="宋体" w:eastAsia="宋体" w:cs="宋体"/>
          <w:color w:val="auto"/>
        </w:rPr>
        <w:t>二、项目内容（简要概述）：</w:t>
      </w:r>
      <w:bookmarkEnd w:id="23"/>
      <w:bookmarkEnd w:id="24"/>
      <w:bookmarkEnd w:id="25"/>
      <w:bookmarkEnd w:id="26"/>
      <w:bookmarkEnd w:id="27"/>
      <w:bookmarkEnd w:id="28"/>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1.采购预算：</w:t>
      </w:r>
      <w:r>
        <w:rPr>
          <w:rFonts w:hint="eastAsia" w:ascii="宋体" w:hAnsi="宋体" w:eastAsia="宋体" w:cs="宋体"/>
          <w:color w:val="auto"/>
          <w:u w:val="single"/>
          <w:lang w:val="en-US" w:eastAsia="zh-CN"/>
        </w:rPr>
        <w:t>63</w:t>
      </w:r>
      <w:r>
        <w:rPr>
          <w:rFonts w:hint="eastAsia" w:ascii="宋体" w:hAnsi="宋体" w:eastAsia="宋体" w:cs="宋体"/>
          <w:color w:val="auto"/>
        </w:rPr>
        <w:t>万元整（大写：</w:t>
      </w:r>
      <w:r>
        <w:rPr>
          <w:rFonts w:hint="eastAsia" w:ascii="宋体" w:hAnsi="宋体" w:eastAsia="宋体" w:cs="宋体"/>
          <w:color w:val="auto"/>
          <w:lang w:eastAsia="zh-CN"/>
        </w:rPr>
        <w:t>陆拾叁</w:t>
      </w:r>
      <w:r>
        <w:rPr>
          <w:rFonts w:hint="eastAsia" w:ascii="宋体" w:hAnsi="宋体" w:eastAsia="宋体" w:cs="宋体"/>
          <w:color w:val="auto"/>
        </w:rPr>
        <w:t>万元整）</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2.主要标的：详见项目需求书</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3.简要技术要求：详见招标文件</w:t>
      </w:r>
    </w:p>
    <w:p>
      <w:pPr>
        <w:pStyle w:val="23"/>
        <w:spacing w:line="360" w:lineRule="auto"/>
        <w:jc w:val="both"/>
        <w:outlineLvl w:val="1"/>
        <w:rPr>
          <w:rFonts w:ascii="宋体" w:hAnsi="宋体" w:eastAsia="宋体" w:cs="宋体"/>
          <w:color w:val="auto"/>
        </w:rPr>
      </w:pPr>
      <w:r>
        <w:rPr>
          <w:rFonts w:hint="eastAsia" w:ascii="宋体" w:hAnsi="宋体" w:eastAsia="宋体" w:cs="宋体"/>
          <w:color w:val="auto"/>
        </w:rPr>
        <w:t>三、项目需要落实的政府采购政策</w:t>
      </w:r>
    </w:p>
    <w:p>
      <w:pPr>
        <w:spacing w:line="360" w:lineRule="auto"/>
        <w:rPr>
          <w:rFonts w:ascii="宋体" w:hAnsi="宋体" w:eastAsia="宋体" w:cs="宋体"/>
          <w:sz w:val="24"/>
          <w:szCs w:val="24"/>
        </w:rPr>
      </w:pPr>
      <w:bookmarkStart w:id="29" w:name="_Toc25653"/>
      <w:bookmarkStart w:id="30" w:name="_Toc16109"/>
      <w:bookmarkStart w:id="31" w:name="_Toc3655"/>
      <w:bookmarkStart w:id="32" w:name="_Toc11547"/>
      <w:bookmarkStart w:id="33" w:name="_Toc24929"/>
      <w:bookmarkStart w:id="34" w:name="_Toc2741"/>
      <w:r>
        <w:rPr>
          <w:rFonts w:ascii="宋体" w:hAnsi="宋体" w:eastAsia="宋体" w:cs="宋体"/>
          <w:sz w:val="24"/>
          <w:szCs w:val="24"/>
        </w:rPr>
        <w:t>(</w:t>
      </w:r>
      <w:r>
        <w:rPr>
          <w:rFonts w:hint="eastAsia" w:ascii="宋体" w:hAnsi="宋体" w:eastAsia="宋体" w:cs="宋体"/>
          <w:sz w:val="24"/>
          <w:szCs w:val="24"/>
        </w:rPr>
        <w:t>一</w:t>
      </w:r>
      <w:r>
        <w:rPr>
          <w:rFonts w:ascii="宋体" w:hAnsi="宋体" w:eastAsia="宋体" w:cs="宋体"/>
          <w:sz w:val="24"/>
          <w:szCs w:val="24"/>
        </w:rPr>
        <w:t>)</w:t>
      </w:r>
      <w:r>
        <w:rPr>
          <w:rFonts w:hint="eastAsia" w:ascii="宋体" w:hAnsi="宋体" w:eastAsia="宋体" w:cs="宋体"/>
          <w:sz w:val="24"/>
          <w:szCs w:val="24"/>
        </w:rPr>
        <w:t>按照《关于调整优化节能产品、环境标志产品政府采购执行机制的通知》（财库〔2020〕9号）文件要求，对政府采购节能、环境标志品目清单内的产品实施优先采购和强制采购的评标方法。</w:t>
      </w:r>
    </w:p>
    <w:p>
      <w:pPr>
        <w:spacing w:line="360" w:lineRule="auto"/>
        <w:rPr>
          <w:rFonts w:ascii="宋体" w:hAnsi="宋体" w:eastAsia="宋体" w:cs="宋体"/>
          <w:sz w:val="24"/>
          <w:szCs w:val="24"/>
        </w:rPr>
      </w:pPr>
      <w:r>
        <w:rPr>
          <w:rFonts w:ascii="宋体" w:hAnsi="宋体" w:eastAsia="宋体" w:cs="宋体"/>
          <w:sz w:val="24"/>
          <w:szCs w:val="24"/>
        </w:rPr>
        <w:t>(二)根据财政部发布的《政府采购促进中小企业发展暂行办法》规定，本项目对小型和微型企业产品的价格给予6%的扣除；</w:t>
      </w:r>
    </w:p>
    <w:p>
      <w:pPr>
        <w:spacing w:line="360" w:lineRule="auto"/>
        <w:rPr>
          <w:rFonts w:ascii="宋体" w:hAnsi="宋体" w:eastAsia="宋体" w:cs="宋体"/>
          <w:sz w:val="24"/>
          <w:szCs w:val="24"/>
        </w:rPr>
      </w:pPr>
      <w:r>
        <w:rPr>
          <w:rFonts w:ascii="宋体" w:hAnsi="宋体" w:eastAsia="宋体" w:cs="宋体"/>
          <w:sz w:val="24"/>
          <w:szCs w:val="24"/>
        </w:rPr>
        <w:t>(三)根据财政部发布的《关于政府采购支持监狱企业发展有关问题的通知》规定，本项目对监狱企业产品的价格给予6%的扣除；</w:t>
      </w:r>
    </w:p>
    <w:p>
      <w:pPr>
        <w:spacing w:line="360" w:lineRule="auto"/>
        <w:rPr>
          <w:rFonts w:ascii="宋体" w:hAnsi="宋体" w:eastAsia="宋体" w:cs="宋体"/>
          <w:sz w:val="24"/>
          <w:szCs w:val="24"/>
        </w:rPr>
      </w:pPr>
      <w:r>
        <w:rPr>
          <w:rFonts w:ascii="宋体" w:hAnsi="宋体" w:eastAsia="宋体" w:cs="宋体"/>
          <w:b/>
          <w:sz w:val="24"/>
          <w:szCs w:val="24"/>
        </w:rPr>
        <w:t>注：小微企业需由</w:t>
      </w:r>
      <w:r>
        <w:rPr>
          <w:rFonts w:hint="eastAsia" w:ascii="宋体" w:hAnsi="宋体" w:eastAsia="宋体" w:cs="宋体"/>
          <w:b/>
          <w:sz w:val="24"/>
          <w:szCs w:val="24"/>
        </w:rPr>
        <w:t>供应商</w:t>
      </w:r>
      <w:r>
        <w:rPr>
          <w:rFonts w:ascii="宋体" w:hAnsi="宋体" w:eastAsia="宋体" w:cs="宋体"/>
          <w:b/>
          <w:sz w:val="24"/>
          <w:szCs w:val="24"/>
        </w:rPr>
        <w:t>填写《中小企业声明函》；监狱企业须</w:t>
      </w:r>
      <w:r>
        <w:rPr>
          <w:rFonts w:hint="eastAsia" w:ascii="宋体" w:hAnsi="宋体" w:eastAsia="宋体" w:cs="宋体"/>
          <w:b/>
          <w:sz w:val="24"/>
          <w:szCs w:val="24"/>
        </w:rPr>
        <w:t>供应商</w:t>
      </w:r>
      <w:r>
        <w:rPr>
          <w:rFonts w:ascii="宋体" w:hAnsi="宋体" w:eastAsia="宋体" w:cs="宋体"/>
          <w:b/>
          <w:sz w:val="24"/>
          <w:szCs w:val="24"/>
        </w:rPr>
        <w:t>提供由省级以上监狱管理局、戒毒管理局(含新疆生产建设兵团)出具的属于监狱企业的证明文件，否则不予认定</w:t>
      </w:r>
      <w:r>
        <w:rPr>
          <w:rFonts w:ascii="宋体" w:hAnsi="宋体" w:eastAsia="宋体" w:cs="宋体"/>
          <w:sz w:val="24"/>
          <w:szCs w:val="24"/>
        </w:rPr>
        <w:t>。</w:t>
      </w:r>
    </w:p>
    <w:p>
      <w:pPr>
        <w:spacing w:line="360" w:lineRule="auto"/>
        <w:rPr>
          <w:rFonts w:ascii="宋体" w:hAnsi="宋体" w:eastAsia="宋体" w:cs="宋体"/>
          <w:sz w:val="24"/>
          <w:szCs w:val="24"/>
        </w:rPr>
      </w:pPr>
      <w:r>
        <w:rPr>
          <w:rFonts w:ascii="宋体" w:hAnsi="宋体" w:eastAsia="宋体" w:cs="宋体"/>
          <w:sz w:val="24"/>
          <w:szCs w:val="24"/>
        </w:rPr>
        <w:t>(四)按照《财政部关于在政府采购活动中查询及使用信用记录有关问题的通知》(财库〔2016〕125号)的要求，根据开标当日“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中华人民共和国政府采购法》第二十二条规定供应商参加政府采购活动应当具备下列条件：1.具有独立承担民事责任的能力；2.具有良好的商业信誉和健全的财务</w:t>
      </w:r>
      <w:r>
        <w:fldChar w:fldCharType="begin"/>
      </w:r>
      <w:r>
        <w:instrText xml:space="preserve"> HYPERLINK "https://baike.so.com/doc/388251-411081.html" \t "_blank" </w:instrText>
      </w:r>
      <w:r>
        <w:fldChar w:fldCharType="separate"/>
      </w:r>
      <w:r>
        <w:rPr>
          <w:rFonts w:ascii="宋体" w:hAnsi="宋体" w:eastAsia="宋体" w:cs="宋体"/>
          <w:sz w:val="24"/>
          <w:szCs w:val="24"/>
        </w:rPr>
        <w:t>会计制度</w:t>
      </w:r>
      <w:r>
        <w:rPr>
          <w:rFonts w:ascii="宋体" w:hAnsi="宋体" w:eastAsia="宋体" w:cs="宋体"/>
          <w:sz w:val="24"/>
          <w:szCs w:val="24"/>
        </w:rPr>
        <w:fldChar w:fldCharType="end"/>
      </w:r>
      <w:r>
        <w:rPr>
          <w:rFonts w:ascii="宋体" w:hAnsi="宋体" w:eastAsia="宋体" w:cs="宋体"/>
          <w:sz w:val="24"/>
          <w:szCs w:val="24"/>
        </w:rPr>
        <w:t>；3.具有履行合同所必需的设备和专业技术能力；4.有依法缴纳税收和社会保障资金的良好记录；5.参加政府采购活动前三年内，在经营活动中没有重大违法记录；6.法律、行政法规规定的其他条件。采购人可以根据采购项目的特殊要求，规定供应商的特定条件，但不得以不合理的条件对供应商实行差别待遇或者歧视待遇。</w:t>
      </w:r>
    </w:p>
    <w:p>
      <w:pPr>
        <w:spacing w:line="360" w:lineRule="auto"/>
        <w:rPr>
          <w:rFonts w:ascii="宋体" w:hAnsi="宋体" w:eastAsia="宋体" w:cs="宋体"/>
          <w:sz w:val="24"/>
          <w:szCs w:val="24"/>
        </w:rPr>
      </w:pPr>
      <w:r>
        <w:rPr>
          <w:rFonts w:ascii="宋体" w:hAnsi="宋体" w:eastAsia="宋体" w:cs="宋体"/>
          <w:sz w:val="24"/>
          <w:szCs w:val="24"/>
        </w:rPr>
        <w:t>(五)按照《关于促进残疾人就业政府采购政策的通知》(</w:t>
      </w:r>
      <w:bookmarkStart w:id="35" w:name="sendNo"/>
      <w:r>
        <w:rPr>
          <w:rFonts w:ascii="宋体" w:hAnsi="宋体" w:eastAsia="宋体" w:cs="宋体"/>
          <w:sz w:val="24"/>
          <w:szCs w:val="24"/>
        </w:rPr>
        <w:t>财库〔</w:t>
      </w:r>
      <w:bookmarkEnd w:id="35"/>
      <w:r>
        <w:rPr>
          <w:rFonts w:ascii="宋体" w:hAnsi="宋体" w:eastAsia="宋体" w:cs="宋体"/>
          <w:sz w:val="24"/>
          <w:szCs w:val="24"/>
        </w:rPr>
        <w:t>2017〕141号)的要求，为了发挥政府采购促进残疾人就业的作用，进一步保障残疾人权益，依照《政府采购法》、《残疾人保障法》等法律法规及相关规定，符合条件的残疾人福利性单位在参加政府采购活动时，视同小型、微型企业，享受预留份额、评审中价格扣除等促进中小企业发展的政府采购政策。残疾人福利性单位应当提供《残疾人福利性单位声明函》(见附件)，并对声明的真实性负责。</w:t>
      </w:r>
    </w:p>
    <w:p>
      <w:pPr>
        <w:pStyle w:val="23"/>
        <w:spacing w:line="360" w:lineRule="auto"/>
        <w:jc w:val="both"/>
        <w:outlineLvl w:val="1"/>
        <w:rPr>
          <w:rFonts w:ascii="宋体" w:hAnsi="宋体" w:eastAsia="宋体" w:cs="宋体"/>
          <w:color w:val="auto"/>
        </w:rPr>
      </w:pPr>
      <w:r>
        <w:rPr>
          <w:rFonts w:hint="eastAsia" w:ascii="宋体" w:hAnsi="宋体" w:eastAsia="宋体" w:cs="宋体"/>
          <w:color w:val="auto"/>
        </w:rPr>
        <w:t>四、供应商资质要求(实质性文件)：</w:t>
      </w:r>
      <w:bookmarkEnd w:id="29"/>
      <w:bookmarkEnd w:id="30"/>
      <w:bookmarkEnd w:id="31"/>
      <w:bookmarkEnd w:id="32"/>
      <w:bookmarkEnd w:id="33"/>
      <w:bookmarkEnd w:id="34"/>
    </w:p>
    <w:p>
      <w:pPr>
        <w:spacing w:line="360" w:lineRule="auto"/>
        <w:ind w:firstLine="480" w:firstLineChars="200"/>
        <w:rPr>
          <w:rFonts w:ascii="Arial" w:hAnsi="Arial" w:eastAsia="宋体" w:cs="Arial"/>
          <w:sz w:val="24"/>
          <w:szCs w:val="24"/>
        </w:rPr>
      </w:pPr>
      <w:bookmarkStart w:id="36" w:name="_Toc16901"/>
      <w:bookmarkStart w:id="37" w:name="_Toc31129"/>
      <w:bookmarkStart w:id="38" w:name="_Toc29210"/>
      <w:bookmarkStart w:id="39" w:name="_Toc20566"/>
      <w:bookmarkStart w:id="40" w:name="_Toc6171"/>
      <w:bookmarkStart w:id="41" w:name="_Toc13429"/>
      <w:r>
        <w:rPr>
          <w:rFonts w:ascii="Arial" w:hAnsi="宋体" w:eastAsia="宋体" w:cs="Arial"/>
          <w:sz w:val="24"/>
          <w:szCs w:val="24"/>
        </w:rPr>
        <w:t>凡符合《中华人民共和国政府采购法》的规定，并能满足以下资质要求的供应商，均可参加(受到行政处罚尚在禁止参加政府采购活动期内的供应商谢绝参与)。投标人须保证以下材料真实性并承担相关的法律责任。</w:t>
      </w:r>
    </w:p>
    <w:p>
      <w:pPr>
        <w:spacing w:line="360" w:lineRule="auto"/>
        <w:rPr>
          <w:rFonts w:hint="eastAsia" w:ascii="宋体" w:hAnsi="宋体" w:eastAsia="宋体" w:cs="宋体"/>
          <w:sz w:val="24"/>
          <w:szCs w:val="24"/>
        </w:rPr>
      </w:pPr>
      <w:r>
        <w:rPr>
          <w:rFonts w:hint="eastAsia" w:ascii="宋体" w:hAnsi="宋体" w:eastAsia="宋体" w:cs="宋体"/>
          <w:sz w:val="24"/>
          <w:szCs w:val="24"/>
        </w:rPr>
        <w:t>(一)营业执照副本或事业单位法人证书或民办非企业单位登记证书或社会团体法人登记证书或基金会法人登记证书复印件并加盖公章；</w:t>
      </w:r>
    </w:p>
    <w:p>
      <w:pPr>
        <w:spacing w:line="360" w:lineRule="auto"/>
        <w:rPr>
          <w:rFonts w:hint="eastAsia" w:ascii="宋体" w:hAnsi="宋体" w:eastAsia="宋体" w:cs="宋体"/>
          <w:sz w:val="24"/>
          <w:szCs w:val="24"/>
        </w:rPr>
      </w:pPr>
      <w:r>
        <w:rPr>
          <w:rFonts w:hint="eastAsia" w:ascii="宋体" w:hAnsi="宋体" w:eastAsia="宋体" w:cs="宋体"/>
          <w:sz w:val="24"/>
          <w:szCs w:val="24"/>
        </w:rPr>
        <w:t>(二)财务状况报告等相关材料：提供201</w:t>
      </w:r>
      <w:r>
        <w:rPr>
          <w:rFonts w:hint="eastAsia" w:ascii="宋体" w:hAnsi="宋体" w:eastAsia="宋体" w:cs="宋体"/>
          <w:sz w:val="24"/>
          <w:szCs w:val="24"/>
          <w:lang w:val="en-US" w:eastAsia="zh-CN"/>
        </w:rPr>
        <w:t>8</w:t>
      </w:r>
      <w:r>
        <w:rPr>
          <w:rFonts w:hint="eastAsia" w:ascii="宋体" w:hAnsi="宋体" w:eastAsia="宋体" w:cs="宋体"/>
          <w:sz w:val="24"/>
          <w:szCs w:val="24"/>
        </w:rPr>
        <w:t>年度</w:t>
      </w:r>
      <w:r>
        <w:rPr>
          <w:rFonts w:hint="eastAsia" w:ascii="宋体" w:hAnsi="宋体" w:eastAsia="宋体" w:cs="宋体"/>
          <w:sz w:val="24"/>
          <w:szCs w:val="24"/>
          <w:lang w:eastAsia="zh-CN"/>
        </w:rPr>
        <w:t>或</w:t>
      </w:r>
      <w:r>
        <w:rPr>
          <w:rFonts w:hint="eastAsia" w:ascii="宋体" w:hAnsi="宋体" w:eastAsia="宋体" w:cs="宋体"/>
          <w:sz w:val="24"/>
          <w:szCs w:val="24"/>
          <w:lang w:val="en-US" w:eastAsia="zh-CN"/>
        </w:rPr>
        <w:t>2019年度</w:t>
      </w:r>
      <w:r>
        <w:rPr>
          <w:rFonts w:hint="eastAsia" w:ascii="宋体" w:hAnsi="宋体" w:eastAsia="宋体" w:cs="宋体"/>
          <w:sz w:val="24"/>
          <w:szCs w:val="24"/>
        </w:rPr>
        <w:t>经第三方会计师事务所审计的企业财务报告扫描件或近三个月银行出具的资信证明复印件并加盖公章。注：</w:t>
      </w:r>
      <w:r>
        <w:rPr>
          <w:rFonts w:hint="eastAsia" w:ascii="宋体" w:hAnsi="宋体" w:eastAsia="宋体" w:cs="宋体"/>
          <w:sz w:val="24"/>
          <w:szCs w:val="24"/>
          <w:lang w:eastAsia="zh-CN"/>
        </w:rPr>
        <w:t>上面</w:t>
      </w:r>
      <w:r>
        <w:rPr>
          <w:rFonts w:hint="eastAsia" w:ascii="宋体" w:hAnsi="宋体" w:eastAsia="宋体" w:cs="宋体"/>
          <w:sz w:val="24"/>
          <w:szCs w:val="24"/>
        </w:rPr>
        <w:t>两项提供任意一项均可；</w:t>
      </w:r>
    </w:p>
    <w:p>
      <w:pPr>
        <w:shd w:val="clear" w:color="auto" w:fill="FFFFFF"/>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(三)投标人具有依法缴纳税收和社会保障资金的良好记录，提供20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eastAsia="宋体" w:cs="宋体"/>
          <w:sz w:val="24"/>
          <w:szCs w:val="24"/>
          <w:lang w:eastAsia="zh-CN"/>
        </w:rPr>
        <w:t>任意</w:t>
      </w:r>
      <w:r>
        <w:rPr>
          <w:rFonts w:hint="eastAsia" w:ascii="宋体" w:hAnsi="宋体" w:eastAsia="宋体" w:cs="宋体"/>
          <w:sz w:val="24"/>
          <w:szCs w:val="24"/>
        </w:rPr>
        <w:t>1个月的依法缴纳税收和社会保险费的相关证明材料复印件并加盖公章</w:t>
      </w:r>
      <w:r>
        <w:rPr>
          <w:rFonts w:hint="eastAsia" w:ascii="宋体" w:hAnsi="宋体" w:eastAsia="宋体" w:cs="宋体"/>
          <w:sz w:val="24"/>
          <w:szCs w:val="24"/>
          <w:lang w:val="en-US" w:eastAsia="zh-CN"/>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四)投标人若为法定代表人本人投标，须提供法定代表人本人身份证明书(需由法定代表人签字或盖章)和法定代表人本人有效身份证明(身份证、机动车驾驶证、护照、港澳通行证、社保卡等能证明身份的证件原件均可)原件；投标人若为被授权人投标，须提供法人代表授权书(需由法定代表人签字或盖章)和被授权人有效身份证明(身份证、机动车驾驶证、护照、港澳通行证、社保卡等能证明身份的证件原件均可)原件；</w:t>
      </w:r>
    </w:p>
    <w:p>
      <w:pPr>
        <w:spacing w:line="360" w:lineRule="auto"/>
        <w:rPr>
          <w:rFonts w:hint="eastAsia" w:ascii="宋体" w:hAnsi="宋体" w:eastAsia="宋体" w:cs="宋体"/>
          <w:sz w:val="24"/>
          <w:szCs w:val="24"/>
        </w:rPr>
      </w:pPr>
      <w:r>
        <w:rPr>
          <w:rFonts w:hint="eastAsia" w:ascii="宋体" w:hAnsi="宋体" w:eastAsia="宋体" w:cs="宋体"/>
          <w:sz w:val="24"/>
          <w:szCs w:val="24"/>
        </w:rPr>
        <w:t>(五)投标人参加政府采购活动前三年内，在经营活动中没有重大违法记录的书面声明原件加盖公章；(截至开标日成立不足3年的供应商可提供自成立以来无重大违法记录的书面声明)；</w:t>
      </w:r>
    </w:p>
    <w:p>
      <w:pPr>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六</w:t>
      </w:r>
      <w:r>
        <w:rPr>
          <w:rFonts w:hint="eastAsia" w:ascii="宋体" w:hAnsi="宋体" w:eastAsia="宋体" w:cs="宋体"/>
          <w:sz w:val="24"/>
          <w:szCs w:val="24"/>
        </w:rPr>
        <w:t>)本项目不接受联合体投标</w:t>
      </w:r>
      <w:r>
        <w:rPr>
          <w:rFonts w:hint="eastAsia" w:ascii="宋体" w:hAnsi="宋体" w:eastAsia="宋体" w:cs="宋体"/>
          <w:sz w:val="24"/>
          <w:szCs w:val="24"/>
          <w:lang w:eastAsia="zh-CN"/>
        </w:rPr>
        <w:t>，提供非联合体声明函</w:t>
      </w:r>
      <w:r>
        <w:rPr>
          <w:rFonts w:hint="eastAsia" w:ascii="宋体" w:hAnsi="宋体" w:eastAsia="宋体" w:cs="宋体"/>
          <w:sz w:val="24"/>
          <w:szCs w:val="24"/>
        </w:rPr>
        <w:t>。</w:t>
      </w:r>
    </w:p>
    <w:p>
      <w:pPr>
        <w:spacing w:line="360" w:lineRule="auto"/>
        <w:rPr>
          <w:rFonts w:hint="eastAsia" w:ascii="宋体" w:hAnsi="宋体" w:eastAsia="宋体" w:cs="宋体"/>
          <w:lang w:eastAsia="zh-CN"/>
        </w:rPr>
      </w:pPr>
      <w:r>
        <w:rPr>
          <w:rFonts w:hint="eastAsia" w:ascii="宋体" w:hAnsi="宋体" w:eastAsia="宋体" w:cs="宋体"/>
          <w:sz w:val="24"/>
          <w:szCs w:val="24"/>
          <w:lang w:eastAsia="zh-CN"/>
        </w:rPr>
        <w:t>（七）本项目只针对小微企业投标，提供小微企业声明函。</w:t>
      </w:r>
    </w:p>
    <w:p>
      <w:pPr>
        <w:pStyle w:val="23"/>
        <w:spacing w:line="360" w:lineRule="auto"/>
        <w:jc w:val="both"/>
        <w:outlineLvl w:val="1"/>
        <w:rPr>
          <w:rFonts w:ascii="宋体" w:hAnsi="宋体" w:eastAsia="宋体" w:cs="宋体"/>
          <w:color w:val="auto"/>
        </w:rPr>
      </w:pPr>
      <w:r>
        <w:rPr>
          <w:rFonts w:hint="eastAsia" w:ascii="宋体" w:hAnsi="宋体" w:eastAsia="宋体" w:cs="宋体"/>
          <w:color w:val="auto"/>
        </w:rPr>
        <w:t>五、获取磋商文件时间、地点、方式及磋商文件售价：</w:t>
      </w:r>
      <w:bookmarkEnd w:id="36"/>
      <w:bookmarkEnd w:id="37"/>
      <w:bookmarkEnd w:id="38"/>
      <w:bookmarkEnd w:id="39"/>
      <w:bookmarkEnd w:id="40"/>
      <w:bookmarkEnd w:id="41"/>
    </w:p>
    <w:p>
      <w:pPr>
        <w:pStyle w:val="23"/>
        <w:spacing w:line="360" w:lineRule="auto"/>
        <w:jc w:val="both"/>
        <w:rPr>
          <w:rFonts w:ascii="宋体" w:hAnsi="宋体" w:eastAsia="宋体" w:cs="宋体"/>
          <w:color w:val="auto"/>
        </w:rPr>
      </w:pPr>
      <w:r>
        <w:rPr>
          <w:rFonts w:hint="eastAsia" w:ascii="宋体" w:hAnsi="宋体" w:eastAsia="宋体" w:cs="宋体"/>
          <w:color w:val="auto"/>
        </w:rPr>
        <w:t>1.获取磋商文件的时间：</w:t>
      </w:r>
      <w:r>
        <w:rPr>
          <w:rFonts w:hint="eastAsia" w:ascii="宋体" w:hAnsi="宋体" w:eastAsia="宋体" w:cs="宋体"/>
          <w:color w:val="auto"/>
          <w:highlight w:val="yellow"/>
        </w:rPr>
        <w:t xml:space="preserve"> 20</w:t>
      </w:r>
      <w:r>
        <w:rPr>
          <w:rFonts w:hint="eastAsia" w:ascii="宋体" w:hAnsi="宋体" w:eastAsia="宋体" w:cs="宋体"/>
          <w:color w:val="auto"/>
          <w:highlight w:val="yellow"/>
          <w:lang w:val="en-US" w:eastAsia="zh-CN"/>
        </w:rPr>
        <w:t>20</w:t>
      </w:r>
      <w:r>
        <w:rPr>
          <w:rFonts w:hint="eastAsia" w:ascii="宋体" w:hAnsi="宋体" w:eastAsia="宋体" w:cs="宋体"/>
          <w:color w:val="auto"/>
          <w:highlight w:val="yellow"/>
        </w:rPr>
        <w:t>年</w:t>
      </w:r>
      <w:r>
        <w:rPr>
          <w:rFonts w:hint="eastAsia" w:ascii="宋体" w:hAnsi="宋体" w:eastAsia="宋体" w:cs="宋体"/>
          <w:color w:val="auto"/>
          <w:highlight w:val="yellow"/>
          <w:lang w:val="en-US" w:eastAsia="zh-CN"/>
        </w:rPr>
        <w:t>9</w:t>
      </w:r>
      <w:r>
        <w:rPr>
          <w:rFonts w:hint="eastAsia" w:ascii="宋体" w:hAnsi="宋体" w:eastAsia="宋体" w:cs="宋体"/>
          <w:color w:val="auto"/>
          <w:highlight w:val="yellow"/>
        </w:rPr>
        <w:t>月</w:t>
      </w:r>
      <w:r>
        <w:rPr>
          <w:rFonts w:hint="eastAsia" w:ascii="宋体" w:hAnsi="宋体" w:eastAsia="宋体" w:cs="宋体"/>
          <w:color w:val="auto"/>
          <w:highlight w:val="yellow"/>
          <w:lang w:val="en-US" w:eastAsia="zh-CN"/>
        </w:rPr>
        <w:t>11</w:t>
      </w:r>
      <w:r>
        <w:rPr>
          <w:rFonts w:hint="eastAsia" w:ascii="宋体" w:hAnsi="宋体" w:eastAsia="宋体" w:cs="宋体"/>
          <w:color w:val="auto"/>
          <w:highlight w:val="yellow"/>
        </w:rPr>
        <w:t>日至20</w:t>
      </w:r>
      <w:r>
        <w:rPr>
          <w:rFonts w:hint="eastAsia" w:ascii="宋体" w:hAnsi="宋体" w:eastAsia="宋体" w:cs="宋体"/>
          <w:color w:val="auto"/>
          <w:highlight w:val="yellow"/>
          <w:lang w:val="en-US" w:eastAsia="zh-CN"/>
        </w:rPr>
        <w:t>20</w:t>
      </w:r>
      <w:r>
        <w:rPr>
          <w:rFonts w:hint="eastAsia" w:ascii="宋体" w:hAnsi="宋体" w:eastAsia="宋体" w:cs="宋体"/>
          <w:color w:val="auto"/>
          <w:highlight w:val="yellow"/>
        </w:rPr>
        <w:t>年</w:t>
      </w:r>
      <w:r>
        <w:rPr>
          <w:rFonts w:hint="eastAsia" w:ascii="宋体" w:hAnsi="宋体" w:eastAsia="宋体" w:cs="宋体"/>
          <w:color w:val="auto"/>
          <w:highlight w:val="yellow"/>
          <w:lang w:val="en-US" w:eastAsia="zh-CN"/>
        </w:rPr>
        <w:t>9</w:t>
      </w:r>
      <w:r>
        <w:rPr>
          <w:rFonts w:hint="eastAsia" w:ascii="宋体" w:hAnsi="宋体" w:eastAsia="宋体" w:cs="宋体"/>
          <w:color w:val="auto"/>
          <w:highlight w:val="yellow"/>
        </w:rPr>
        <w:t>月</w:t>
      </w:r>
      <w:r>
        <w:rPr>
          <w:rFonts w:hint="eastAsia" w:ascii="宋体" w:hAnsi="宋体" w:eastAsia="宋体" w:cs="宋体"/>
          <w:color w:val="auto"/>
          <w:highlight w:val="yellow"/>
          <w:lang w:val="en-US" w:eastAsia="zh-CN"/>
        </w:rPr>
        <w:t>17</w:t>
      </w:r>
      <w:r>
        <w:rPr>
          <w:rFonts w:hint="eastAsia" w:ascii="宋体" w:hAnsi="宋体" w:eastAsia="宋体" w:cs="宋体"/>
          <w:color w:val="auto"/>
          <w:highlight w:val="yellow"/>
        </w:rPr>
        <w:t>日</w:t>
      </w:r>
      <w:r>
        <w:rPr>
          <w:rFonts w:hint="eastAsia" w:ascii="宋体" w:hAnsi="宋体" w:eastAsia="宋体" w:cs="宋体"/>
          <w:color w:val="auto"/>
          <w:highlight w:val="none"/>
        </w:rPr>
        <w:t>，每日上午9:00--12：00，下午14：00－17：00</w:t>
      </w:r>
      <w:r>
        <w:rPr>
          <w:rFonts w:hint="eastAsia" w:ascii="宋体" w:hAnsi="宋体" w:eastAsia="宋体" w:cs="宋体"/>
          <w:color w:val="auto"/>
        </w:rPr>
        <w:t>（法定节假日除外）。</w:t>
      </w:r>
    </w:p>
    <w:p>
      <w:pPr>
        <w:pStyle w:val="23"/>
        <w:spacing w:line="360" w:lineRule="auto"/>
        <w:jc w:val="both"/>
        <w:rPr>
          <w:rFonts w:ascii="宋体" w:hAnsi="宋体" w:eastAsia="宋体" w:cs="宋体"/>
          <w:color w:val="auto"/>
        </w:rPr>
      </w:pPr>
      <w:r>
        <w:rPr>
          <w:rFonts w:hint="eastAsia" w:ascii="宋体" w:hAnsi="宋体" w:eastAsia="宋体" w:cs="宋体"/>
          <w:color w:val="auto"/>
        </w:rPr>
        <w:t>2.获取磋商文件的地点:</w:t>
      </w:r>
      <w:r>
        <w:rPr>
          <w:rFonts w:hint="eastAsia" w:ascii="宋体" w:hAnsi="宋体" w:eastAsia="宋体" w:cs="宋体"/>
          <w:color w:val="auto"/>
          <w:highlight w:val="yellow"/>
        </w:rPr>
        <w:t>电子邮件获取。（由于疫情期间，本项目不接受现场报名）。</w:t>
      </w:r>
    </w:p>
    <w:p>
      <w:pPr>
        <w:pStyle w:val="23"/>
        <w:spacing w:line="360" w:lineRule="auto"/>
        <w:jc w:val="both"/>
        <w:rPr>
          <w:rFonts w:ascii="宋体" w:hAnsi="宋体" w:eastAsia="宋体" w:cs="宋体"/>
          <w:color w:val="auto"/>
        </w:rPr>
      </w:pPr>
      <w:r>
        <w:rPr>
          <w:rFonts w:hint="eastAsia" w:ascii="宋体" w:hAnsi="宋体" w:eastAsia="宋体" w:cs="宋体"/>
          <w:color w:val="auto"/>
        </w:rPr>
        <w:t>3.获取磋商文件方式:</w:t>
      </w:r>
      <w:r>
        <w:rPr>
          <w:rFonts w:hint="eastAsia" w:ascii="宋体" w:hAnsi="宋体" w:eastAsia="宋体" w:cs="宋体"/>
          <w:color w:val="auto"/>
          <w:highlight w:val="yellow"/>
        </w:rPr>
        <w:t>获取招标文件的授权代表需提供加盖公章的营业执照扫描件和针对本项目的法定代表人授权报名委托书和授权人身份证复印件加盖公章扫描件，发送我公司邮箱</w:t>
      </w:r>
      <w:r>
        <w:rPr>
          <w:rFonts w:hint="eastAsia" w:ascii="宋体" w:hAnsi="宋体" w:eastAsia="宋体" w:cs="宋体"/>
          <w:color w:val="auto"/>
          <w:highlight w:val="yellow"/>
          <w:lang w:val="en-US" w:eastAsia="zh-CN"/>
        </w:rPr>
        <w:t>jyztbgs</w:t>
      </w:r>
      <w:r>
        <w:rPr>
          <w:rFonts w:hint="eastAsia" w:ascii="宋体" w:hAnsi="宋体" w:eastAsia="宋体" w:cs="宋体"/>
          <w:color w:val="auto"/>
          <w:highlight w:val="yellow"/>
        </w:rPr>
        <w:t>@1</w:t>
      </w:r>
      <w:r>
        <w:rPr>
          <w:rFonts w:hint="eastAsia" w:ascii="宋体" w:hAnsi="宋体" w:eastAsia="宋体" w:cs="宋体"/>
          <w:color w:val="auto"/>
          <w:highlight w:val="yellow"/>
          <w:lang w:val="en-US" w:eastAsia="zh-CN"/>
        </w:rPr>
        <w:t>26</w:t>
      </w:r>
      <w:r>
        <w:rPr>
          <w:rFonts w:hint="eastAsia" w:ascii="宋体" w:hAnsi="宋体" w:eastAsia="宋体" w:cs="宋体"/>
          <w:color w:val="auto"/>
          <w:highlight w:val="yellow"/>
        </w:rPr>
        <w:t>.com并电话通知我公司李</w:t>
      </w:r>
      <w:r>
        <w:rPr>
          <w:rFonts w:hint="eastAsia" w:ascii="宋体" w:hAnsi="宋体" w:eastAsia="宋体" w:cs="宋体"/>
          <w:color w:val="auto"/>
          <w:highlight w:val="yellow"/>
          <w:lang w:eastAsia="zh-CN"/>
        </w:rPr>
        <w:t>工</w:t>
      </w:r>
      <w:r>
        <w:rPr>
          <w:rFonts w:hint="eastAsia" w:ascii="宋体" w:hAnsi="宋体" w:eastAsia="宋体" w:cs="宋体"/>
          <w:color w:val="auto"/>
          <w:highlight w:val="yellow"/>
        </w:rPr>
        <w:t>：13132518309。</w:t>
      </w:r>
    </w:p>
    <w:p>
      <w:pPr>
        <w:pStyle w:val="23"/>
        <w:spacing w:line="360" w:lineRule="auto"/>
        <w:jc w:val="both"/>
        <w:rPr>
          <w:rFonts w:ascii="宋体" w:hAnsi="宋体" w:eastAsia="宋体" w:cs="宋体"/>
          <w:b/>
          <w:bCs/>
          <w:color w:val="auto"/>
        </w:rPr>
      </w:pPr>
      <w:r>
        <w:rPr>
          <w:rFonts w:hint="eastAsia" w:ascii="宋体" w:hAnsi="宋体" w:eastAsia="宋体" w:cs="宋体"/>
          <w:b/>
          <w:bCs/>
          <w:color w:val="auto"/>
          <w:lang w:val="zh-TW" w:eastAsia="zh-TW"/>
        </w:rPr>
        <w:t>供应商须在《天津市政府采购网》（网址：</w:t>
      </w:r>
      <w:r>
        <w:rPr>
          <w:rFonts w:hint="eastAsia" w:ascii="宋体" w:hAnsi="宋体" w:eastAsia="宋体" w:cs="宋体"/>
          <w:b/>
          <w:bCs/>
          <w:color w:val="auto"/>
        </w:rPr>
        <w:t>www.tjgp.gov.cn</w:t>
      </w:r>
      <w:r>
        <w:rPr>
          <w:rFonts w:hint="eastAsia" w:ascii="宋体" w:hAnsi="宋体" w:eastAsia="宋体" w:cs="宋体"/>
          <w:b/>
          <w:bCs/>
          <w:color w:val="auto"/>
          <w:lang w:val="zh-TW" w:eastAsia="zh-TW"/>
        </w:rPr>
        <w:t>）上完成注册并成为合格供应商；</w:t>
      </w:r>
      <w:r>
        <w:rPr>
          <w:rFonts w:hint="eastAsia" w:ascii="宋体" w:hAnsi="宋体" w:eastAsia="宋体" w:cs="宋体"/>
          <w:b/>
          <w:bCs/>
          <w:color w:val="auto"/>
          <w:lang w:val="zh-TW"/>
        </w:rPr>
        <w:t>随时关注“</w:t>
      </w:r>
      <w:r>
        <w:rPr>
          <w:rFonts w:hint="eastAsia" w:ascii="宋体" w:hAnsi="宋体" w:eastAsia="宋体" w:cs="宋体"/>
          <w:b/>
          <w:bCs/>
          <w:color w:val="auto"/>
          <w:lang w:val="zh-TW" w:eastAsia="zh-TW"/>
        </w:rPr>
        <w:t>天津市政府采购网</w:t>
      </w:r>
      <w:r>
        <w:rPr>
          <w:rFonts w:hint="eastAsia" w:ascii="宋体" w:hAnsi="宋体" w:eastAsia="宋体" w:cs="宋体"/>
          <w:b/>
          <w:bCs/>
          <w:color w:val="auto"/>
          <w:lang w:val="zh-TW"/>
        </w:rPr>
        <w:t>”信息。</w:t>
      </w:r>
    </w:p>
    <w:p>
      <w:pPr>
        <w:pStyle w:val="23"/>
        <w:spacing w:line="360" w:lineRule="auto"/>
        <w:jc w:val="both"/>
        <w:rPr>
          <w:rFonts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lang w:val="zh-TW" w:eastAsia="zh-TW"/>
        </w:rPr>
        <w:t>招标文件的售价：招标文件售价为</w:t>
      </w:r>
      <w:r>
        <w:rPr>
          <w:rFonts w:hint="eastAsia" w:ascii="宋体" w:hAnsi="宋体" w:eastAsia="宋体" w:cs="宋体"/>
          <w:color w:val="auto"/>
          <w:lang w:val="en-US" w:eastAsia="zh-CN"/>
        </w:rPr>
        <w:t>3</w:t>
      </w:r>
      <w:r>
        <w:rPr>
          <w:rFonts w:hint="eastAsia" w:ascii="宋体" w:hAnsi="宋体" w:eastAsia="宋体" w:cs="宋体"/>
          <w:color w:val="auto"/>
        </w:rPr>
        <w:t>00</w:t>
      </w:r>
      <w:r>
        <w:rPr>
          <w:rFonts w:hint="eastAsia" w:ascii="宋体" w:hAnsi="宋体" w:eastAsia="宋体" w:cs="宋体"/>
          <w:color w:val="auto"/>
          <w:lang w:val="zh-TW" w:eastAsia="zh-TW"/>
        </w:rPr>
        <w:t>元</w:t>
      </w:r>
      <w:r>
        <w:rPr>
          <w:rFonts w:hint="eastAsia" w:ascii="宋体" w:hAnsi="宋体" w:eastAsia="宋体" w:cs="宋体"/>
          <w:color w:val="auto"/>
        </w:rPr>
        <w:t>/</w:t>
      </w:r>
      <w:r>
        <w:rPr>
          <w:rFonts w:hint="eastAsia" w:ascii="宋体" w:hAnsi="宋体" w:eastAsia="宋体" w:cs="宋体"/>
          <w:color w:val="auto"/>
          <w:lang w:val="zh-TW" w:eastAsia="zh-TW"/>
        </w:rPr>
        <w:t>包。（招标文件一经售出</w:t>
      </w:r>
      <w:r>
        <w:rPr>
          <w:rFonts w:hint="eastAsia" w:ascii="宋体" w:hAnsi="宋体" w:eastAsia="宋体" w:cs="宋体"/>
          <w:color w:val="auto"/>
        </w:rPr>
        <w:t>,</w:t>
      </w:r>
      <w:r>
        <w:rPr>
          <w:rFonts w:hint="eastAsia" w:ascii="宋体" w:hAnsi="宋体" w:eastAsia="宋体" w:cs="宋体"/>
          <w:color w:val="auto"/>
          <w:lang w:val="zh-TW" w:eastAsia="zh-TW"/>
        </w:rPr>
        <w:t>所收费用概不退还）。</w:t>
      </w:r>
    </w:p>
    <w:p>
      <w:pPr>
        <w:pStyle w:val="23"/>
        <w:spacing w:line="360" w:lineRule="auto"/>
        <w:jc w:val="both"/>
        <w:rPr>
          <w:rFonts w:ascii="宋体" w:hAnsi="宋体" w:eastAsia="宋体" w:cs="宋体"/>
          <w:color w:val="auto"/>
          <w:lang w:val="zh-TW" w:eastAsia="zh-TW"/>
        </w:rPr>
      </w:pPr>
      <w:r>
        <w:rPr>
          <w:rFonts w:hint="eastAsia" w:ascii="宋体" w:hAnsi="宋体" w:eastAsia="宋体" w:cs="宋体"/>
          <w:color w:val="auto"/>
        </w:rPr>
        <w:t>5.</w:t>
      </w:r>
      <w:r>
        <w:rPr>
          <w:rFonts w:hint="eastAsia" w:ascii="宋体" w:hAnsi="宋体" w:eastAsia="宋体" w:cs="宋体"/>
          <w:color w:val="auto"/>
          <w:lang w:val="zh-TW" w:eastAsia="zh-TW"/>
        </w:rPr>
        <w:t>本项目</w:t>
      </w:r>
      <w:r>
        <w:rPr>
          <w:rFonts w:hint="eastAsia" w:ascii="宋体" w:hAnsi="宋体" w:eastAsia="宋体" w:cs="宋体"/>
          <w:color w:val="auto"/>
          <w:lang w:val="zh-TW" w:eastAsia="zh-CN"/>
        </w:rPr>
        <w:t>不</w:t>
      </w:r>
      <w:r>
        <w:rPr>
          <w:rFonts w:hint="eastAsia" w:ascii="宋体" w:hAnsi="宋体" w:eastAsia="宋体" w:cs="宋体"/>
          <w:color w:val="auto"/>
          <w:lang w:val="zh-TW" w:eastAsia="zh-TW"/>
        </w:rPr>
        <w:t>收取保证金</w:t>
      </w:r>
    </w:p>
    <w:p>
      <w:pPr>
        <w:pStyle w:val="23"/>
        <w:spacing w:line="360" w:lineRule="auto"/>
        <w:jc w:val="both"/>
        <w:rPr>
          <w:rFonts w:ascii="宋体" w:hAnsi="宋体" w:eastAsia="宋体" w:cs="宋体"/>
          <w:color w:val="auto"/>
        </w:rPr>
      </w:pPr>
      <w:r>
        <w:rPr>
          <w:rFonts w:hint="eastAsia" w:ascii="宋体" w:hAnsi="宋体" w:eastAsia="宋体" w:cs="宋体"/>
          <w:color w:val="auto"/>
        </w:rPr>
        <w:t>6.</w:t>
      </w:r>
      <w:r>
        <w:rPr>
          <w:rFonts w:hint="eastAsia" w:ascii="宋体" w:hAnsi="宋体" w:eastAsia="宋体" w:cs="宋体"/>
          <w:color w:val="auto"/>
          <w:lang w:val="zh-TW" w:eastAsia="zh-TW"/>
        </w:rPr>
        <w:t>采购代理机构汇款银行及账号：</w:t>
      </w:r>
    </w:p>
    <w:p>
      <w:pPr>
        <w:spacing w:beforeLines="50"/>
        <w:jc w:val="both"/>
        <w:outlineLvl w:val="2"/>
        <w:rPr>
          <w:rFonts w:ascii="宋体" w:hAnsi="宋体" w:eastAsia="宋体" w:cs="宋体"/>
          <w:sz w:val="24"/>
          <w:szCs w:val="24"/>
        </w:rPr>
      </w:pPr>
      <w:r>
        <w:rPr>
          <w:rFonts w:hint="eastAsia" w:ascii="宋体" w:hAnsi="宋体" w:eastAsia="宋体" w:cs="宋体"/>
          <w:sz w:val="24"/>
          <w:szCs w:val="24"/>
          <w:lang w:val="zh-TW" w:eastAsia="zh-TW"/>
        </w:rPr>
        <w:t>1</w:t>
      </w:r>
      <w:r>
        <w:rPr>
          <w:rFonts w:hint="eastAsia" w:ascii="宋体" w:hAnsi="宋体" w:eastAsia="宋体" w:cs="宋体"/>
          <w:sz w:val="24"/>
          <w:szCs w:val="24"/>
        </w:rPr>
        <w:t>)</w:t>
      </w:r>
      <w:r>
        <w:rPr>
          <w:rFonts w:hint="eastAsia" w:ascii="宋体" w:hAnsi="宋体" w:eastAsia="宋体" w:cs="宋体"/>
          <w:sz w:val="24"/>
          <w:szCs w:val="24"/>
          <w:lang w:val="zh-TW" w:eastAsia="zh-TW"/>
        </w:rPr>
        <w:t>名称：</w:t>
      </w:r>
      <w:r>
        <w:rPr>
          <w:rFonts w:hint="eastAsia" w:ascii="宋体" w:hAnsi="宋体" w:eastAsia="宋体" w:cs="宋体"/>
          <w:sz w:val="24"/>
          <w:szCs w:val="24"/>
        </w:rPr>
        <w:t>天津同力源工程咨询有限公司</w:t>
      </w:r>
    </w:p>
    <w:p>
      <w:pPr>
        <w:pStyle w:val="23"/>
        <w:spacing w:line="360" w:lineRule="auto"/>
        <w:jc w:val="both"/>
        <w:outlineLvl w:val="2"/>
        <w:rPr>
          <w:rFonts w:hint="eastAsia" w:ascii="宋体" w:hAnsi="宋体" w:eastAsia="宋体" w:cs="宋体"/>
          <w:color w:val="auto"/>
          <w:lang w:val="en-US" w:eastAsia="zh-CN"/>
        </w:rPr>
      </w:pPr>
      <w:r>
        <w:rPr>
          <w:rFonts w:hint="eastAsia" w:ascii="宋体" w:hAnsi="宋体" w:eastAsia="宋体" w:cs="宋体"/>
          <w:color w:val="auto"/>
          <w:lang w:val="zh-TW" w:eastAsia="zh-TW"/>
        </w:rPr>
        <w:t>2</w:t>
      </w:r>
      <w:r>
        <w:rPr>
          <w:rFonts w:hint="eastAsia" w:ascii="宋体" w:hAnsi="宋体" w:eastAsia="宋体" w:cs="宋体"/>
          <w:color w:val="auto"/>
        </w:rPr>
        <w:t>)</w:t>
      </w:r>
      <w:r>
        <w:rPr>
          <w:rFonts w:hint="eastAsia" w:ascii="宋体" w:hAnsi="宋体" w:eastAsia="宋体" w:cs="宋体"/>
          <w:color w:val="auto"/>
          <w:lang w:val="zh-TW" w:eastAsia="zh-TW"/>
        </w:rPr>
        <w:t>联系人：</w:t>
      </w:r>
      <w:r>
        <w:rPr>
          <w:rFonts w:hint="eastAsia" w:ascii="宋体" w:hAnsi="宋体" w:eastAsia="宋体" w:cs="宋体"/>
          <w:color w:val="auto"/>
          <w:lang w:val="zh-TW" w:eastAsia="zh-CN"/>
        </w:rPr>
        <w:t>李工</w:t>
      </w:r>
    </w:p>
    <w:p>
      <w:pPr>
        <w:pStyle w:val="23"/>
        <w:spacing w:line="360" w:lineRule="auto"/>
        <w:jc w:val="both"/>
        <w:outlineLvl w:val="2"/>
        <w:rPr>
          <w:rFonts w:ascii="宋体" w:hAnsi="宋体" w:eastAsia="宋体" w:cs="宋体"/>
          <w:color w:val="auto"/>
          <w:lang w:val="zh-TW" w:eastAsia="zh-TW"/>
        </w:rPr>
      </w:pPr>
      <w:r>
        <w:rPr>
          <w:rFonts w:hint="eastAsia" w:ascii="宋体" w:hAnsi="宋体" w:eastAsia="宋体" w:cs="宋体"/>
          <w:color w:val="auto"/>
          <w:lang w:val="zh-TW" w:eastAsia="zh-TW"/>
        </w:rPr>
        <w:t>3</w:t>
      </w:r>
      <w:r>
        <w:rPr>
          <w:rFonts w:hint="eastAsia" w:ascii="宋体" w:hAnsi="宋体" w:eastAsia="宋体" w:cs="宋体"/>
          <w:color w:val="auto"/>
        </w:rPr>
        <w:t>)</w:t>
      </w:r>
      <w:r>
        <w:rPr>
          <w:rFonts w:hint="eastAsia" w:ascii="宋体" w:hAnsi="宋体" w:eastAsia="宋体" w:cs="宋体"/>
          <w:color w:val="auto"/>
          <w:lang w:val="zh-TW" w:eastAsia="zh-TW"/>
        </w:rPr>
        <w:t>联系电话：022-86817396</w:t>
      </w:r>
    </w:p>
    <w:p>
      <w:pPr>
        <w:pStyle w:val="23"/>
        <w:spacing w:line="360" w:lineRule="auto"/>
        <w:jc w:val="both"/>
        <w:outlineLvl w:val="2"/>
        <w:rPr>
          <w:rFonts w:ascii="宋体" w:hAnsi="宋体" w:eastAsia="宋体" w:cs="宋体"/>
          <w:color w:val="auto"/>
          <w:lang w:val="zh-TW" w:eastAsia="zh-TW"/>
        </w:rPr>
      </w:pPr>
      <w:r>
        <w:rPr>
          <w:rFonts w:hint="eastAsia" w:ascii="宋体" w:hAnsi="宋体" w:eastAsia="宋体" w:cs="宋体"/>
          <w:color w:val="auto"/>
          <w:lang w:val="zh-TW" w:eastAsia="zh-TW"/>
        </w:rPr>
        <w:t>4</w:t>
      </w:r>
      <w:r>
        <w:rPr>
          <w:rFonts w:hint="eastAsia" w:ascii="宋体" w:hAnsi="宋体" w:eastAsia="宋体" w:cs="宋体"/>
          <w:color w:val="auto"/>
        </w:rPr>
        <w:t>)</w:t>
      </w:r>
      <w:r>
        <w:rPr>
          <w:rFonts w:hint="eastAsia" w:ascii="宋体" w:hAnsi="宋体" w:eastAsia="宋体" w:cs="宋体"/>
          <w:color w:val="auto"/>
          <w:lang w:val="zh-TW" w:eastAsia="zh-TW"/>
        </w:rPr>
        <w:t>地址：</w:t>
      </w:r>
      <w:r>
        <w:rPr>
          <w:rFonts w:hint="eastAsia" w:ascii="宋体" w:hAnsi="宋体" w:eastAsia="宋体" w:cs="宋体"/>
          <w:color w:val="auto"/>
          <w:lang w:val="zh-TW"/>
        </w:rPr>
        <w:t>天津市北辰区新都汇杰座B座19楼</w:t>
      </w:r>
    </w:p>
    <w:p>
      <w:pPr>
        <w:pStyle w:val="23"/>
        <w:spacing w:line="360" w:lineRule="auto"/>
        <w:jc w:val="both"/>
        <w:outlineLvl w:val="2"/>
        <w:rPr>
          <w:rFonts w:ascii="宋体" w:hAnsi="宋体" w:eastAsia="宋体" w:cs="宋体"/>
          <w:color w:val="auto"/>
          <w:lang w:val="zh-TW" w:eastAsia="zh-TW"/>
        </w:rPr>
      </w:pPr>
      <w:r>
        <w:rPr>
          <w:rFonts w:hint="eastAsia" w:ascii="宋体" w:hAnsi="宋体" w:eastAsia="宋体" w:cs="宋体"/>
          <w:color w:val="auto"/>
          <w:lang w:val="zh-TW" w:eastAsia="zh-TW"/>
        </w:rPr>
        <w:t>5</w:t>
      </w:r>
      <w:r>
        <w:rPr>
          <w:rFonts w:hint="eastAsia" w:ascii="宋体" w:hAnsi="宋体" w:eastAsia="宋体" w:cs="宋体"/>
          <w:color w:val="auto"/>
        </w:rPr>
        <w:t>)</w:t>
      </w:r>
      <w:r>
        <w:rPr>
          <w:rFonts w:hint="eastAsia" w:ascii="宋体" w:hAnsi="宋体" w:eastAsia="宋体" w:cs="宋体"/>
          <w:color w:val="auto"/>
          <w:lang w:val="zh-TW" w:eastAsia="zh-TW"/>
        </w:rPr>
        <w:t>开户银行：</w:t>
      </w:r>
      <w:r>
        <w:rPr>
          <w:rFonts w:hint="eastAsia" w:ascii="宋体" w:hAnsi="宋体" w:eastAsia="宋体" w:cs="宋体"/>
          <w:color w:val="auto"/>
          <w:lang w:val="zh-TW"/>
        </w:rPr>
        <w:t>中国农业银行天津双街支行</w:t>
      </w:r>
    </w:p>
    <w:p>
      <w:pPr>
        <w:pStyle w:val="23"/>
        <w:spacing w:line="360" w:lineRule="auto"/>
        <w:jc w:val="both"/>
        <w:outlineLvl w:val="2"/>
        <w:rPr>
          <w:rFonts w:ascii="宋体" w:hAnsi="宋体" w:eastAsia="宋体" w:cs="宋体"/>
          <w:color w:val="auto"/>
          <w:lang w:val="zh-TW" w:eastAsia="zh-TW"/>
        </w:rPr>
      </w:pPr>
      <w:r>
        <w:rPr>
          <w:rFonts w:hint="eastAsia" w:ascii="宋体" w:hAnsi="宋体" w:eastAsia="宋体" w:cs="宋体"/>
          <w:color w:val="auto"/>
          <w:lang w:val="zh-TW" w:eastAsia="zh-TW"/>
        </w:rPr>
        <w:t>6</w:t>
      </w:r>
      <w:r>
        <w:rPr>
          <w:rFonts w:hint="eastAsia" w:ascii="宋体" w:hAnsi="宋体" w:eastAsia="宋体" w:cs="宋体"/>
          <w:color w:val="auto"/>
          <w:lang w:eastAsia="zh-TW"/>
        </w:rPr>
        <w:t>)</w:t>
      </w:r>
      <w:r>
        <w:rPr>
          <w:rFonts w:hint="eastAsia" w:ascii="宋体" w:hAnsi="宋体" w:eastAsia="宋体" w:cs="宋体"/>
          <w:color w:val="auto"/>
          <w:lang w:val="zh-TW" w:eastAsia="zh-TW"/>
        </w:rPr>
        <w:t>银行帐号：</w:t>
      </w:r>
      <w:r>
        <w:rPr>
          <w:rFonts w:hint="eastAsia" w:ascii="宋体" w:hAnsi="宋体"/>
          <w:color w:val="000000"/>
          <w:szCs w:val="21"/>
          <w:lang w:val="en-US" w:eastAsia="zh-CN"/>
        </w:rPr>
        <w:t>02045801040004010</w:t>
      </w:r>
    </w:p>
    <w:p>
      <w:pPr>
        <w:pStyle w:val="23"/>
        <w:spacing w:line="360" w:lineRule="auto"/>
        <w:jc w:val="both"/>
        <w:outlineLvl w:val="2"/>
        <w:rPr>
          <w:rFonts w:ascii="宋体" w:hAnsi="宋体" w:eastAsia="宋体" w:cs="宋体"/>
          <w:color w:val="auto"/>
          <w:lang w:val="zh-TW" w:eastAsia="zh-TW"/>
        </w:rPr>
      </w:pPr>
      <w:r>
        <w:rPr>
          <w:rFonts w:hint="eastAsia" w:ascii="宋体" w:hAnsi="宋体" w:eastAsia="宋体" w:cs="宋体"/>
          <w:color w:val="auto"/>
          <w:lang w:val="zh-TW" w:eastAsia="zh-TW"/>
        </w:rPr>
        <w:t>7</w:t>
      </w:r>
      <w:r>
        <w:rPr>
          <w:rFonts w:hint="eastAsia" w:ascii="宋体" w:hAnsi="宋体" w:eastAsia="宋体" w:cs="宋体"/>
          <w:color w:val="auto"/>
          <w:lang w:eastAsia="zh-TW"/>
        </w:rPr>
        <w:t>)</w:t>
      </w:r>
      <w:r>
        <w:rPr>
          <w:rFonts w:hint="eastAsia" w:ascii="宋体" w:hAnsi="宋体" w:eastAsia="宋体" w:cs="宋体"/>
          <w:color w:val="auto"/>
          <w:lang w:val="zh-TW" w:eastAsia="zh-TW"/>
        </w:rPr>
        <w:t>电子邮箱：</w:t>
      </w:r>
      <w:r>
        <w:fldChar w:fldCharType="begin"/>
      </w:r>
      <w:r>
        <w:instrText xml:space="preserve"> HYPERLINK "mailto:jyztbgs@126.com" </w:instrText>
      </w:r>
      <w:r>
        <w:fldChar w:fldCharType="separate"/>
      </w:r>
      <w:r>
        <w:rPr>
          <w:rFonts w:hint="eastAsia" w:ascii="宋体" w:hAnsi="宋体" w:eastAsia="宋体" w:cs="宋体"/>
          <w:color w:val="auto"/>
          <w:lang w:val="zh-TW" w:eastAsia="zh-TW"/>
        </w:rPr>
        <w:t>jyztbgs@126.com</w:t>
      </w:r>
      <w:r>
        <w:rPr>
          <w:rFonts w:hint="eastAsia" w:ascii="宋体" w:hAnsi="宋体" w:eastAsia="宋体" w:cs="宋体"/>
          <w:color w:val="auto"/>
          <w:lang w:val="zh-TW" w:eastAsia="zh-TW"/>
        </w:rPr>
        <w:fldChar w:fldCharType="end"/>
      </w:r>
    </w:p>
    <w:p>
      <w:pPr>
        <w:pStyle w:val="23"/>
        <w:spacing w:line="360" w:lineRule="auto"/>
        <w:jc w:val="both"/>
        <w:outlineLvl w:val="1"/>
        <w:rPr>
          <w:rFonts w:ascii="宋体" w:hAnsi="宋体" w:eastAsia="宋体" w:cs="宋体"/>
          <w:color w:val="auto"/>
        </w:rPr>
      </w:pPr>
      <w:bookmarkStart w:id="42" w:name="_Toc3338"/>
      <w:bookmarkStart w:id="43" w:name="_Toc17914"/>
      <w:bookmarkStart w:id="44" w:name="_Toc2395"/>
      <w:bookmarkStart w:id="45" w:name="_Toc2441"/>
      <w:bookmarkStart w:id="46" w:name="_Toc17372"/>
      <w:bookmarkStart w:id="47" w:name="_Toc10937"/>
      <w:r>
        <w:rPr>
          <w:rFonts w:hint="eastAsia" w:ascii="宋体" w:hAnsi="宋体" w:eastAsia="宋体" w:cs="宋体"/>
          <w:color w:val="auto"/>
        </w:rPr>
        <w:t>六、磋商时间及地点、开标时间及地点：</w:t>
      </w:r>
      <w:bookmarkEnd w:id="42"/>
      <w:bookmarkEnd w:id="43"/>
      <w:bookmarkEnd w:id="44"/>
      <w:bookmarkEnd w:id="45"/>
      <w:bookmarkEnd w:id="46"/>
      <w:bookmarkEnd w:id="47"/>
    </w:p>
    <w:p>
      <w:pPr>
        <w:pStyle w:val="23"/>
        <w:spacing w:line="360" w:lineRule="auto"/>
        <w:jc w:val="both"/>
        <w:rPr>
          <w:rFonts w:ascii="宋体" w:hAnsi="宋体" w:eastAsia="宋体" w:cs="宋体"/>
          <w:color w:val="auto"/>
        </w:rPr>
      </w:pPr>
      <w:r>
        <w:rPr>
          <w:rFonts w:hint="eastAsia" w:ascii="宋体" w:hAnsi="宋体" w:eastAsia="宋体" w:cs="宋体"/>
          <w:color w:val="auto"/>
        </w:rPr>
        <w:t>1.提交磋商文件时间：</w:t>
      </w:r>
      <w:r>
        <w:rPr>
          <w:rFonts w:hint="eastAsia" w:ascii="宋体" w:hAnsi="宋体" w:eastAsia="宋体" w:cs="宋体"/>
          <w:color w:val="auto"/>
          <w:highlight w:val="yellow"/>
        </w:rPr>
        <w:t>北京时间20</w:t>
      </w:r>
      <w:r>
        <w:rPr>
          <w:rFonts w:hint="eastAsia" w:ascii="宋体" w:hAnsi="宋体" w:eastAsia="宋体" w:cs="宋体"/>
          <w:color w:val="auto"/>
          <w:highlight w:val="yellow"/>
          <w:lang w:val="en-US" w:eastAsia="zh-CN"/>
        </w:rPr>
        <w:t>20</w:t>
      </w:r>
      <w:r>
        <w:rPr>
          <w:rFonts w:hint="eastAsia" w:ascii="宋体" w:hAnsi="宋体" w:eastAsia="宋体" w:cs="宋体"/>
          <w:color w:val="auto"/>
          <w:highlight w:val="yellow"/>
        </w:rPr>
        <w:t>年</w:t>
      </w:r>
      <w:r>
        <w:rPr>
          <w:rFonts w:hint="eastAsia" w:ascii="宋体" w:hAnsi="宋体" w:eastAsia="宋体" w:cs="宋体"/>
          <w:color w:val="auto"/>
          <w:highlight w:val="yellow"/>
          <w:lang w:val="en-US" w:eastAsia="zh-CN"/>
        </w:rPr>
        <w:t>9</w:t>
      </w:r>
      <w:r>
        <w:rPr>
          <w:rFonts w:hint="eastAsia" w:ascii="宋体" w:hAnsi="宋体" w:eastAsia="宋体" w:cs="宋体"/>
          <w:color w:val="auto"/>
          <w:highlight w:val="yellow"/>
        </w:rPr>
        <w:t>月</w:t>
      </w:r>
      <w:r>
        <w:rPr>
          <w:rFonts w:hint="eastAsia" w:ascii="宋体" w:hAnsi="宋体" w:eastAsia="宋体" w:cs="宋体"/>
          <w:color w:val="auto"/>
          <w:highlight w:val="yellow"/>
          <w:lang w:val="en-US" w:eastAsia="zh-CN"/>
        </w:rPr>
        <w:t>21</w:t>
      </w:r>
      <w:r>
        <w:rPr>
          <w:rFonts w:hint="eastAsia" w:ascii="宋体" w:hAnsi="宋体" w:eastAsia="宋体" w:cs="宋体"/>
          <w:color w:val="auto"/>
          <w:highlight w:val="yellow"/>
        </w:rPr>
        <w:t>日</w:t>
      </w:r>
      <w:r>
        <w:rPr>
          <w:rFonts w:hint="eastAsia" w:ascii="宋体" w:hAnsi="宋体" w:eastAsia="宋体" w:cs="宋体"/>
          <w:color w:val="auto"/>
          <w:highlight w:val="yellow"/>
          <w:lang w:val="en-US" w:eastAsia="zh-CN"/>
        </w:rPr>
        <w:t>14</w:t>
      </w:r>
      <w:r>
        <w:rPr>
          <w:rFonts w:hint="eastAsia" w:ascii="宋体" w:hAnsi="宋体" w:eastAsia="宋体" w:cs="宋体"/>
          <w:color w:val="auto"/>
          <w:highlight w:val="yellow"/>
        </w:rPr>
        <w:t>:</w:t>
      </w:r>
      <w:r>
        <w:rPr>
          <w:rFonts w:hint="eastAsia" w:ascii="宋体" w:hAnsi="宋体" w:eastAsia="宋体" w:cs="宋体"/>
          <w:color w:val="auto"/>
          <w:highlight w:val="yellow"/>
          <w:lang w:val="en-US" w:eastAsia="zh-CN"/>
        </w:rPr>
        <w:t>3</w:t>
      </w:r>
      <w:r>
        <w:rPr>
          <w:rFonts w:hint="eastAsia" w:ascii="宋体" w:hAnsi="宋体" w:eastAsia="宋体" w:cs="宋体"/>
          <w:color w:val="auto"/>
          <w:highlight w:val="yellow"/>
        </w:rPr>
        <w:t>0截止收取投标文件。</w:t>
      </w:r>
    </w:p>
    <w:p>
      <w:pPr>
        <w:pStyle w:val="23"/>
        <w:spacing w:line="360" w:lineRule="auto"/>
        <w:jc w:val="both"/>
        <w:rPr>
          <w:rFonts w:ascii="宋体" w:hAnsi="宋体" w:eastAsia="宋体" w:cs="宋体"/>
          <w:color w:val="auto"/>
        </w:rPr>
      </w:pPr>
      <w:r>
        <w:rPr>
          <w:rFonts w:hint="eastAsia" w:ascii="宋体" w:hAnsi="宋体" w:eastAsia="宋体" w:cs="宋体"/>
          <w:color w:val="auto"/>
        </w:rPr>
        <w:t>2.提交磋商文件地点：天津市北辰区新都汇杰座B座19楼</w:t>
      </w:r>
    </w:p>
    <w:p>
      <w:pPr>
        <w:pStyle w:val="23"/>
        <w:spacing w:line="360" w:lineRule="auto"/>
        <w:jc w:val="both"/>
        <w:rPr>
          <w:rFonts w:ascii="宋体" w:hAnsi="宋体" w:eastAsia="宋体" w:cs="宋体"/>
          <w:color w:val="auto"/>
        </w:rPr>
      </w:pPr>
      <w:r>
        <w:rPr>
          <w:rFonts w:hint="eastAsia" w:ascii="宋体" w:hAnsi="宋体" w:eastAsia="宋体" w:cs="宋体"/>
          <w:color w:val="auto"/>
        </w:rPr>
        <w:t>3.开标时间：</w:t>
      </w:r>
      <w:r>
        <w:rPr>
          <w:rFonts w:hint="eastAsia" w:ascii="宋体" w:hAnsi="宋体" w:eastAsia="宋体" w:cs="宋体"/>
          <w:color w:val="auto"/>
          <w:highlight w:val="yellow"/>
        </w:rPr>
        <w:t>北京时间201</w:t>
      </w:r>
      <w:r>
        <w:rPr>
          <w:rFonts w:hint="eastAsia" w:ascii="宋体" w:hAnsi="宋体" w:eastAsia="宋体" w:cs="宋体"/>
          <w:color w:val="auto"/>
          <w:highlight w:val="yellow"/>
          <w:lang w:val="en-US" w:eastAsia="zh-CN"/>
        </w:rPr>
        <w:t>9</w:t>
      </w:r>
      <w:r>
        <w:rPr>
          <w:rFonts w:hint="eastAsia" w:ascii="宋体" w:hAnsi="宋体" w:eastAsia="宋体" w:cs="宋体"/>
          <w:color w:val="auto"/>
          <w:highlight w:val="yellow"/>
        </w:rPr>
        <w:t>年</w:t>
      </w:r>
      <w:r>
        <w:rPr>
          <w:rFonts w:hint="eastAsia" w:ascii="宋体" w:hAnsi="宋体" w:eastAsia="宋体" w:cs="宋体"/>
          <w:color w:val="auto"/>
          <w:highlight w:val="yellow"/>
          <w:lang w:val="en-US" w:eastAsia="zh-CN"/>
        </w:rPr>
        <w:t>9</w:t>
      </w:r>
      <w:r>
        <w:rPr>
          <w:rFonts w:hint="eastAsia" w:ascii="宋体" w:hAnsi="宋体" w:eastAsia="宋体" w:cs="宋体"/>
          <w:color w:val="auto"/>
          <w:highlight w:val="yellow"/>
        </w:rPr>
        <w:t>月</w:t>
      </w:r>
      <w:r>
        <w:rPr>
          <w:rFonts w:hint="eastAsia" w:ascii="宋体" w:hAnsi="宋体" w:eastAsia="宋体" w:cs="宋体"/>
          <w:color w:val="auto"/>
          <w:highlight w:val="yellow"/>
          <w:lang w:val="en-US" w:eastAsia="zh-CN"/>
        </w:rPr>
        <w:t>21</w:t>
      </w:r>
      <w:r>
        <w:rPr>
          <w:rFonts w:hint="eastAsia" w:ascii="宋体" w:hAnsi="宋体" w:eastAsia="宋体" w:cs="宋体"/>
          <w:color w:val="auto"/>
          <w:highlight w:val="yellow"/>
        </w:rPr>
        <w:t>日</w:t>
      </w:r>
      <w:r>
        <w:rPr>
          <w:rFonts w:hint="eastAsia" w:ascii="宋体" w:hAnsi="宋体" w:eastAsia="宋体" w:cs="宋体"/>
          <w:color w:val="auto"/>
          <w:highlight w:val="yellow"/>
          <w:lang w:val="en-US" w:eastAsia="zh-CN"/>
        </w:rPr>
        <w:t>14</w:t>
      </w:r>
      <w:r>
        <w:rPr>
          <w:rFonts w:hint="eastAsia" w:ascii="宋体" w:hAnsi="宋体" w:eastAsia="宋体" w:cs="宋体"/>
          <w:color w:val="auto"/>
          <w:highlight w:val="yellow"/>
        </w:rPr>
        <w:t>:</w:t>
      </w:r>
      <w:r>
        <w:rPr>
          <w:rFonts w:hint="eastAsia" w:ascii="宋体" w:hAnsi="宋体" w:eastAsia="宋体" w:cs="宋体"/>
          <w:color w:val="auto"/>
          <w:highlight w:val="yellow"/>
          <w:lang w:val="en-US" w:eastAsia="zh-CN"/>
        </w:rPr>
        <w:t>3</w:t>
      </w:r>
      <w:r>
        <w:rPr>
          <w:rFonts w:hint="eastAsia" w:ascii="宋体" w:hAnsi="宋体" w:eastAsia="宋体" w:cs="宋体"/>
          <w:color w:val="auto"/>
          <w:highlight w:val="yellow"/>
        </w:rPr>
        <w:t>0分。</w:t>
      </w:r>
    </w:p>
    <w:p>
      <w:pPr>
        <w:pStyle w:val="23"/>
        <w:spacing w:line="360" w:lineRule="auto"/>
        <w:jc w:val="both"/>
        <w:rPr>
          <w:rFonts w:ascii="宋体" w:hAnsi="宋体" w:eastAsia="宋体" w:cs="宋体"/>
          <w:color w:val="auto"/>
        </w:rPr>
      </w:pPr>
      <w:r>
        <w:rPr>
          <w:rFonts w:hint="eastAsia" w:ascii="宋体" w:hAnsi="宋体" w:eastAsia="宋体" w:cs="宋体"/>
          <w:color w:val="auto"/>
        </w:rPr>
        <w:t>4.开标地点：</w:t>
      </w:r>
      <w:bookmarkEnd w:id="16"/>
      <w:bookmarkEnd w:id="17"/>
      <w:bookmarkEnd w:id="18"/>
      <w:bookmarkEnd w:id="19"/>
      <w:bookmarkEnd w:id="20"/>
      <w:bookmarkEnd w:id="21"/>
      <w:bookmarkEnd w:id="22"/>
      <w:bookmarkStart w:id="48" w:name="_Toc15217"/>
      <w:bookmarkStart w:id="49" w:name="_Toc1071"/>
      <w:bookmarkStart w:id="50" w:name="_Toc18298"/>
      <w:bookmarkStart w:id="51" w:name="_Toc2473"/>
      <w:bookmarkStart w:id="52" w:name="_Toc6183"/>
      <w:bookmarkStart w:id="53" w:name="_Toc18316"/>
      <w:r>
        <w:rPr>
          <w:rFonts w:hint="eastAsia" w:ascii="宋体" w:hAnsi="宋体" w:eastAsia="宋体" w:cs="宋体"/>
          <w:color w:val="auto"/>
        </w:rPr>
        <w:t>天津市北辰区新都汇杰座B座19楼</w:t>
      </w:r>
    </w:p>
    <w:p>
      <w:pPr>
        <w:pStyle w:val="23"/>
        <w:spacing w:line="360" w:lineRule="auto"/>
        <w:jc w:val="both"/>
        <w:outlineLvl w:val="1"/>
        <w:rPr>
          <w:rFonts w:ascii="宋体" w:hAnsi="宋体" w:eastAsia="宋体" w:cs="宋体"/>
          <w:color w:val="auto"/>
        </w:rPr>
      </w:pPr>
      <w:r>
        <w:rPr>
          <w:rFonts w:hint="eastAsia" w:ascii="宋体" w:hAnsi="宋体" w:eastAsia="宋体" w:cs="宋体"/>
          <w:color w:val="auto"/>
        </w:rPr>
        <w:t>七、项目联系人及联系方式：</w:t>
      </w:r>
      <w:bookmarkEnd w:id="48"/>
      <w:bookmarkEnd w:id="49"/>
      <w:bookmarkEnd w:id="50"/>
      <w:bookmarkEnd w:id="51"/>
      <w:bookmarkEnd w:id="52"/>
      <w:bookmarkEnd w:id="53"/>
    </w:p>
    <w:p>
      <w:pPr>
        <w:pStyle w:val="23"/>
        <w:spacing w:line="360" w:lineRule="auto"/>
        <w:jc w:val="both"/>
        <w:outlineLvl w:val="2"/>
        <w:rPr>
          <w:rFonts w:hint="eastAsia" w:ascii="宋体" w:hAnsi="宋体" w:eastAsia="宋体" w:cs="宋体"/>
          <w:color w:val="auto"/>
          <w:lang w:eastAsia="zh-CN"/>
        </w:rPr>
      </w:pPr>
      <w:r>
        <w:rPr>
          <w:rFonts w:hint="eastAsia" w:ascii="宋体" w:hAnsi="宋体" w:eastAsia="宋体" w:cs="宋体"/>
          <w:color w:val="auto"/>
        </w:rPr>
        <w:t>1.联系人：</w:t>
      </w:r>
      <w:r>
        <w:rPr>
          <w:rFonts w:hint="eastAsia" w:ascii="宋体" w:hAnsi="宋体" w:eastAsia="宋体" w:cs="宋体"/>
          <w:color w:val="auto"/>
          <w:lang w:eastAsia="zh-CN"/>
        </w:rPr>
        <w:t>李工</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2.联系电话：022-86817396</w:t>
      </w:r>
    </w:p>
    <w:p>
      <w:pPr>
        <w:pStyle w:val="23"/>
        <w:spacing w:line="360" w:lineRule="auto"/>
        <w:jc w:val="both"/>
        <w:outlineLvl w:val="1"/>
        <w:rPr>
          <w:rFonts w:ascii="宋体" w:hAnsi="宋体" w:eastAsia="宋体" w:cs="宋体"/>
          <w:color w:val="auto"/>
        </w:rPr>
      </w:pPr>
      <w:bookmarkStart w:id="54" w:name="_Toc5315"/>
      <w:bookmarkStart w:id="55" w:name="_Toc22626"/>
      <w:bookmarkStart w:id="56" w:name="_Toc14989"/>
      <w:bookmarkStart w:id="57" w:name="_Toc7430"/>
      <w:bookmarkStart w:id="58" w:name="_Toc29794"/>
      <w:bookmarkStart w:id="59" w:name="_Toc12435"/>
      <w:r>
        <w:rPr>
          <w:rFonts w:hint="eastAsia" w:ascii="宋体" w:hAnsi="宋体" w:eastAsia="宋体" w:cs="宋体"/>
          <w:color w:val="auto"/>
        </w:rPr>
        <w:t>八、采购人的名称、地址及联系方式：</w:t>
      </w:r>
      <w:bookmarkEnd w:id="54"/>
      <w:bookmarkEnd w:id="55"/>
      <w:bookmarkEnd w:id="56"/>
      <w:bookmarkEnd w:id="57"/>
      <w:bookmarkEnd w:id="58"/>
      <w:bookmarkEnd w:id="59"/>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1.采购人名称：天津市北辰区人民政府青源街道办事处</w:t>
      </w:r>
    </w:p>
    <w:p>
      <w:pPr>
        <w:pStyle w:val="23"/>
        <w:tabs>
          <w:tab w:val="left" w:pos="6673"/>
        </w:tabs>
        <w:spacing w:line="360" w:lineRule="auto"/>
        <w:jc w:val="both"/>
        <w:outlineLvl w:val="2"/>
        <w:rPr>
          <w:rFonts w:ascii="宋体" w:hAnsi="宋体" w:eastAsia="宋体" w:cs="宋体"/>
          <w:color w:val="auto"/>
        </w:rPr>
      </w:pPr>
      <w:r>
        <w:rPr>
          <w:rFonts w:hint="eastAsia" w:ascii="宋体" w:hAnsi="宋体" w:eastAsia="宋体" w:cs="宋体"/>
          <w:color w:val="auto"/>
        </w:rPr>
        <w:t>2.采购人地址：青(广)源街荣康园公建三楼</w:t>
      </w:r>
    </w:p>
    <w:p>
      <w:pPr>
        <w:pStyle w:val="23"/>
        <w:spacing w:line="360" w:lineRule="auto"/>
        <w:jc w:val="both"/>
        <w:outlineLvl w:val="2"/>
        <w:rPr>
          <w:rFonts w:hint="default" w:ascii="宋体" w:hAnsi="宋体" w:eastAsia="宋体" w:cs="宋体"/>
          <w:color w:val="auto"/>
          <w:lang w:val="en-US" w:eastAsia="zh-CN"/>
        </w:rPr>
      </w:pPr>
      <w:r>
        <w:rPr>
          <w:rFonts w:hint="eastAsia" w:ascii="宋体" w:hAnsi="宋体" w:eastAsia="宋体" w:cs="宋体"/>
          <w:color w:val="auto"/>
        </w:rPr>
        <w:t>3.采购人联系人和联系电话：</w:t>
      </w:r>
      <w:r>
        <w:rPr>
          <w:rFonts w:hint="eastAsia" w:ascii="宋体" w:hAnsi="宋体" w:eastAsia="宋体" w:cs="宋体"/>
          <w:color w:val="auto"/>
          <w:lang w:eastAsia="zh-CN"/>
        </w:rPr>
        <w:t>熊主任</w:t>
      </w:r>
      <w:r>
        <w:rPr>
          <w:rFonts w:hint="eastAsia" w:ascii="宋体" w:hAnsi="宋体" w:eastAsia="宋体" w:cs="宋体"/>
          <w:color w:val="auto"/>
        </w:rPr>
        <w:t xml:space="preserve">  </w:t>
      </w:r>
      <w:r>
        <w:rPr>
          <w:rFonts w:hint="eastAsia" w:ascii="宋体" w:hAnsi="宋体" w:cs="宋体"/>
          <w:color w:val="000000"/>
          <w:kern w:val="2"/>
          <w:sz w:val="24"/>
          <w:szCs w:val="24"/>
          <w:lang w:val="en-US" w:eastAsia="zh-CN" w:bidi="ar-SA"/>
        </w:rPr>
        <w:t>86938629</w:t>
      </w:r>
    </w:p>
    <w:p>
      <w:pPr>
        <w:pStyle w:val="23"/>
        <w:spacing w:line="360" w:lineRule="auto"/>
        <w:jc w:val="both"/>
        <w:outlineLvl w:val="1"/>
        <w:rPr>
          <w:rFonts w:ascii="宋体" w:hAnsi="宋体" w:eastAsia="宋体" w:cs="宋体"/>
          <w:color w:val="auto"/>
        </w:rPr>
      </w:pPr>
      <w:r>
        <w:rPr>
          <w:rFonts w:hint="eastAsia" w:ascii="宋体" w:hAnsi="宋体" w:eastAsia="宋体" w:cs="宋体"/>
          <w:color w:val="auto"/>
        </w:rPr>
        <w:t>九、代理机构的名称、地址及联系方式：</w:t>
      </w:r>
    </w:p>
    <w:p>
      <w:pPr>
        <w:spacing w:beforeLines="50"/>
        <w:jc w:val="both"/>
        <w:outlineLvl w:val="2"/>
        <w:rPr>
          <w:rFonts w:ascii="宋体" w:hAnsi="宋体" w:eastAsia="宋体" w:cs="宋体"/>
          <w:sz w:val="24"/>
          <w:szCs w:val="24"/>
        </w:rPr>
      </w:pPr>
      <w:r>
        <w:rPr>
          <w:rFonts w:hint="eastAsia" w:ascii="宋体" w:hAnsi="宋体" w:eastAsia="宋体" w:cs="宋体"/>
          <w:sz w:val="24"/>
          <w:szCs w:val="24"/>
        </w:rPr>
        <w:t>1.采购代理机构名称：天津同力源工程咨询有限公司</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2.采购代理机构地址：天津市北辰区新都汇杰座B座19楼</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3.采购代理机构联系电话：022-86817396</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4.电子邮箱：jyztbgs@126.com</w:t>
      </w:r>
    </w:p>
    <w:p>
      <w:pPr>
        <w:pStyle w:val="23"/>
        <w:spacing w:line="360" w:lineRule="auto"/>
        <w:jc w:val="both"/>
        <w:outlineLvl w:val="1"/>
        <w:rPr>
          <w:rFonts w:ascii="宋体" w:hAnsi="宋体" w:eastAsia="宋体" w:cs="宋体"/>
          <w:color w:val="auto"/>
        </w:rPr>
      </w:pPr>
      <w:bookmarkStart w:id="60" w:name="_Toc1024"/>
      <w:bookmarkStart w:id="61" w:name="_Toc25890"/>
      <w:bookmarkStart w:id="62" w:name="_Toc22689"/>
      <w:bookmarkStart w:id="63" w:name="_Toc23690"/>
      <w:bookmarkStart w:id="64" w:name="_Toc27997"/>
      <w:bookmarkStart w:id="65" w:name="_Toc7516"/>
      <w:r>
        <w:rPr>
          <w:rFonts w:hint="eastAsia" w:ascii="宋体" w:hAnsi="宋体" w:eastAsia="宋体" w:cs="宋体"/>
          <w:color w:val="auto"/>
        </w:rPr>
        <w:t>十、质疑方式：</w:t>
      </w:r>
      <w:bookmarkEnd w:id="60"/>
      <w:bookmarkEnd w:id="61"/>
      <w:bookmarkEnd w:id="62"/>
      <w:bookmarkEnd w:id="63"/>
      <w:bookmarkEnd w:id="64"/>
      <w:bookmarkEnd w:id="65"/>
    </w:p>
    <w:p>
      <w:pPr>
        <w:spacing w:beforeLines="5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供应商认为磋商文件存在倾向性、歧视性条款，损害其合法权益的，可以在获取招标文件之日起7个工作日内，且在投标截止之日前，以书面形式向</w:t>
      </w:r>
      <w:r>
        <w:rPr>
          <w:rFonts w:hint="eastAsia" w:ascii="宋体" w:hAnsi="宋体" w:eastAsia="宋体" w:cs="宋体"/>
          <w:sz w:val="24"/>
          <w:szCs w:val="24"/>
          <w:u w:val="single"/>
        </w:rPr>
        <w:t>天津市北辰区人民政府青源街道办事处和天津同力源工程咨询有限公司</w:t>
      </w:r>
      <w:r>
        <w:rPr>
          <w:rFonts w:hint="eastAsia" w:ascii="宋体" w:hAnsi="宋体" w:eastAsia="宋体" w:cs="宋体"/>
          <w:sz w:val="24"/>
          <w:szCs w:val="24"/>
        </w:rPr>
        <w:t>提出质疑，逾期不受理。供应商对质疑答复不满意的，或者采购人、采购代理机构未在规定期限内作出答复的，可以在质疑期满后15个工作日内，向同级财政部门提出投诉，逾期不受理。</w:t>
      </w:r>
    </w:p>
    <w:p>
      <w:pPr>
        <w:pStyle w:val="23"/>
        <w:spacing w:line="360" w:lineRule="auto"/>
        <w:jc w:val="both"/>
        <w:outlineLvl w:val="1"/>
        <w:rPr>
          <w:rFonts w:ascii="宋体" w:hAnsi="宋体" w:eastAsia="宋体" w:cs="宋体"/>
          <w:color w:val="auto"/>
        </w:rPr>
      </w:pPr>
      <w:r>
        <w:rPr>
          <w:rFonts w:hint="eastAsia" w:ascii="宋体" w:hAnsi="宋体" w:eastAsia="宋体" w:cs="宋体"/>
          <w:color w:val="auto"/>
        </w:rPr>
        <w:t>十一、公告期限</w:t>
      </w:r>
    </w:p>
    <w:p>
      <w:pPr>
        <w:pStyle w:val="23"/>
        <w:spacing w:line="360" w:lineRule="auto"/>
        <w:jc w:val="both"/>
        <w:rPr>
          <w:rFonts w:ascii="宋体" w:hAnsi="宋体" w:eastAsia="宋体" w:cs="宋体"/>
          <w:color w:val="auto"/>
        </w:rPr>
      </w:pPr>
      <w:r>
        <w:rPr>
          <w:rFonts w:hint="eastAsia" w:ascii="宋体" w:hAnsi="宋体" w:eastAsia="宋体" w:cs="宋体"/>
          <w:color w:val="auto"/>
        </w:rPr>
        <w:t>磋商公告的公告期限为</w:t>
      </w:r>
      <w:r>
        <w:rPr>
          <w:rFonts w:hint="eastAsia" w:ascii="宋体" w:hAnsi="宋体" w:eastAsia="宋体" w:cs="宋体"/>
          <w:color w:val="auto"/>
          <w:lang w:val="en-US" w:eastAsia="zh-CN"/>
        </w:rPr>
        <w:t>3</w:t>
      </w:r>
      <w:r>
        <w:rPr>
          <w:rFonts w:hint="eastAsia" w:ascii="宋体" w:hAnsi="宋体" w:eastAsia="宋体" w:cs="宋体"/>
          <w:color w:val="auto"/>
        </w:rPr>
        <w:t>个工作日。</w:t>
      </w:r>
    </w:p>
    <w:p>
      <w:pPr>
        <w:pStyle w:val="23"/>
        <w:spacing w:line="360" w:lineRule="auto"/>
        <w:jc w:val="both"/>
        <w:outlineLvl w:val="1"/>
        <w:rPr>
          <w:rFonts w:ascii="宋体" w:hAnsi="宋体" w:eastAsia="宋体" w:cs="宋体"/>
          <w:color w:val="auto"/>
        </w:rPr>
      </w:pPr>
      <w:r>
        <w:rPr>
          <w:rFonts w:hint="eastAsia" w:ascii="宋体" w:hAnsi="宋体" w:eastAsia="宋体" w:cs="宋体"/>
          <w:color w:val="auto"/>
        </w:rPr>
        <w:t>十二、其他</w:t>
      </w:r>
    </w:p>
    <w:p>
      <w:pPr>
        <w:pStyle w:val="23"/>
        <w:spacing w:line="360" w:lineRule="auto"/>
        <w:jc w:val="both"/>
        <w:rPr>
          <w:rFonts w:ascii="宋体" w:hAnsi="宋体" w:eastAsia="宋体" w:cs="宋体"/>
          <w:color w:val="auto"/>
        </w:rPr>
      </w:pPr>
      <w:r>
        <w:rPr>
          <w:rFonts w:hint="eastAsia" w:ascii="宋体" w:hAnsi="宋体" w:eastAsia="宋体" w:cs="宋体"/>
          <w:color w:val="auto"/>
        </w:rPr>
        <w:t>成交供应商须于成交结果公告发布之日起两个工作日内到</w:t>
      </w:r>
      <w:r>
        <w:rPr>
          <w:rFonts w:hint="eastAsia" w:ascii="宋体" w:hAnsi="宋体" w:eastAsia="宋体" w:cs="宋体"/>
          <w:color w:val="auto"/>
          <w:u w:val="single"/>
        </w:rPr>
        <w:t>天津同力源工程咨询有限公司</w:t>
      </w:r>
      <w:r>
        <w:rPr>
          <w:rFonts w:hint="eastAsia" w:ascii="宋体" w:hAnsi="宋体" w:eastAsia="宋体" w:cs="宋体"/>
          <w:color w:val="auto"/>
        </w:rPr>
        <w:t>领取成交通知书，逾期未领取者视同领取。成交供应商应按照规定的时限和程序完成政府采购合同的签订。</w:t>
      </w:r>
    </w:p>
    <w:p>
      <w:pPr>
        <w:pStyle w:val="23"/>
        <w:jc w:val="both"/>
        <w:rPr>
          <w:rFonts w:ascii="宋体" w:hAnsi="宋体" w:eastAsia="宋体" w:cs="宋体"/>
          <w:b/>
          <w:bCs/>
          <w:color w:val="auto"/>
          <w:lang w:val="zh-CN"/>
        </w:rPr>
      </w:pPr>
      <w:r>
        <w:rPr>
          <w:rFonts w:hint="eastAsia" w:ascii="宋体" w:hAnsi="宋体" w:eastAsia="宋体" w:cs="宋体"/>
          <w:b/>
          <w:bCs/>
          <w:color w:val="auto"/>
          <w:lang w:val="zh-CN"/>
        </w:rPr>
        <w:t>代理服务费：本项目代理服务费向成交供应商收取。</w:t>
      </w:r>
    </w:p>
    <w:p>
      <w:pPr>
        <w:tabs>
          <w:tab w:val="left" w:pos="1260"/>
          <w:tab w:val="center" w:pos="4156"/>
        </w:tabs>
        <w:autoSpaceDE w:val="0"/>
        <w:autoSpaceDN w:val="0"/>
        <w:jc w:val="center"/>
        <w:outlineLvl w:val="9"/>
        <w:rPr>
          <w:rFonts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ascii="宋体" w:hAnsi="宋体" w:eastAsia="宋体" w:cs="宋体"/>
          <w:b/>
          <w:bCs/>
          <w:kern w:val="2"/>
          <w:sz w:val="32"/>
          <w:szCs w:val="32"/>
        </w:rPr>
      </w:pPr>
      <w:r>
        <w:rPr>
          <w:rFonts w:hint="eastAsia" w:ascii="宋体" w:hAnsi="宋体" w:eastAsia="宋体" w:cs="宋体"/>
          <w:b/>
          <w:bCs/>
          <w:kern w:val="2"/>
          <w:sz w:val="32"/>
          <w:szCs w:val="32"/>
        </w:rPr>
        <w:t>第二部分 磋商项目要求</w:t>
      </w:r>
    </w:p>
    <w:p>
      <w:pPr>
        <w:spacing w:after="60" w:line="360" w:lineRule="auto"/>
        <w:ind w:firstLine="480" w:firstLineChars="200"/>
        <w:rPr>
          <w:rFonts w:ascii="宋体" w:hAnsi="宋体" w:eastAsia="宋体" w:cs="宋体"/>
          <w:sz w:val="24"/>
          <w:szCs w:val="24"/>
        </w:rPr>
      </w:pPr>
      <w:r>
        <w:rPr>
          <w:rFonts w:hint="eastAsia" w:ascii="宋体" w:hAnsi="宋体" w:eastAsia="宋体" w:cs="宋体"/>
          <w:sz w:val="24"/>
          <w:szCs w:val="24"/>
        </w:rPr>
        <w:t>本项目就</w:t>
      </w:r>
      <w:r>
        <w:rPr>
          <w:rFonts w:hint="eastAsia" w:ascii="宋体" w:hAnsi="宋体" w:eastAsia="宋体" w:cs="宋体"/>
          <w:sz w:val="24"/>
          <w:szCs w:val="24"/>
          <w:lang w:eastAsia="zh-CN"/>
        </w:rPr>
        <w:t>双青片区部分社区、道路市容环境清整项目</w:t>
      </w:r>
      <w:r>
        <w:rPr>
          <w:rFonts w:hint="eastAsia" w:ascii="宋体" w:hAnsi="宋体" w:eastAsia="宋体" w:cs="宋体"/>
          <w:sz w:val="24"/>
          <w:szCs w:val="24"/>
        </w:rPr>
        <w:t>实施采购进行竞争性磋商，凡符合《中华人民共和国政府采购法》规定的投标人，均可参加投标。本部分内容若与其他部分有不同之处，以本部分内容为准。</w:t>
      </w:r>
    </w:p>
    <w:p>
      <w:pPr>
        <w:spacing w:after="60" w:line="360" w:lineRule="auto"/>
        <w:outlineLvl w:val="1"/>
        <w:rPr>
          <w:rFonts w:ascii="宋体" w:hAnsi="宋体" w:eastAsia="宋体" w:cs="宋体"/>
          <w:b/>
          <w:bCs/>
          <w:sz w:val="24"/>
          <w:szCs w:val="24"/>
        </w:rPr>
      </w:pPr>
      <w:r>
        <w:rPr>
          <w:rFonts w:hint="eastAsia" w:ascii="宋体" w:hAnsi="宋体" w:eastAsia="宋体" w:cs="宋体"/>
          <w:b/>
          <w:bCs/>
          <w:sz w:val="24"/>
          <w:szCs w:val="24"/>
        </w:rPr>
        <w:t>一、内容要求</w:t>
      </w:r>
    </w:p>
    <w:p>
      <w:pPr>
        <w:rPr>
          <w:rFonts w:ascii="宋体" w:hAnsi="宋体" w:eastAsia="宋体" w:cs="宋体"/>
          <w:sz w:val="24"/>
          <w:szCs w:val="24"/>
          <w:highlight w:val="none"/>
        </w:rPr>
      </w:pPr>
      <w:r>
        <w:rPr>
          <w:rFonts w:hint="eastAsia" w:ascii="宋体" w:hAnsi="宋体" w:eastAsia="宋体" w:cs="宋体"/>
          <w:sz w:val="24"/>
          <w:szCs w:val="24"/>
          <w:highlight w:val="none"/>
          <w:lang w:eastAsia="zh-CN"/>
        </w:rPr>
        <w:t>双青片区部分社区、道路市容环境清整项目</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预算资金</w:t>
      </w:r>
      <w:r>
        <w:rPr>
          <w:rFonts w:hint="eastAsia" w:ascii="宋体" w:hAnsi="宋体" w:eastAsia="宋体" w:cs="宋体"/>
          <w:sz w:val="24"/>
          <w:szCs w:val="24"/>
          <w:highlight w:val="none"/>
          <w:lang w:val="en-US" w:eastAsia="zh-CN"/>
        </w:rPr>
        <w:t>63</w:t>
      </w:r>
      <w:r>
        <w:rPr>
          <w:rFonts w:hint="eastAsia" w:ascii="宋体" w:hAnsi="宋体" w:eastAsia="宋体" w:cs="宋体"/>
          <w:sz w:val="24"/>
          <w:szCs w:val="24"/>
          <w:highlight w:val="none"/>
        </w:rPr>
        <w:t>万元,具体内容及要求详见项目需求书，本项目不接受联合体投标。</w:t>
      </w:r>
    </w:p>
    <w:p>
      <w:pPr>
        <w:pStyle w:val="23"/>
        <w:spacing w:line="360" w:lineRule="auto"/>
        <w:jc w:val="both"/>
        <w:outlineLvl w:val="1"/>
        <w:rPr>
          <w:rFonts w:ascii="宋体" w:hAnsi="宋体" w:eastAsia="宋体" w:cs="宋体"/>
          <w:b/>
          <w:bCs/>
          <w:color w:val="auto"/>
        </w:rPr>
      </w:pPr>
      <w:r>
        <w:rPr>
          <w:rFonts w:hint="eastAsia" w:ascii="宋体" w:hAnsi="宋体" w:eastAsia="宋体" w:cs="宋体"/>
          <w:b/>
          <w:bCs/>
          <w:color w:val="auto"/>
        </w:rPr>
        <w:t>二、实质性资格要求</w:t>
      </w:r>
    </w:p>
    <w:p>
      <w:pPr>
        <w:pStyle w:val="23"/>
        <w:spacing w:line="360" w:lineRule="auto"/>
        <w:ind w:firstLine="480" w:firstLineChars="200"/>
        <w:jc w:val="both"/>
        <w:rPr>
          <w:rFonts w:hint="eastAsia" w:ascii="宋体" w:hAnsi="宋体" w:eastAsia="宋体" w:cs="宋体"/>
          <w:color w:val="auto"/>
        </w:rPr>
      </w:pPr>
      <w:r>
        <w:rPr>
          <w:rFonts w:hint="eastAsia" w:ascii="宋体" w:hAnsi="宋体" w:eastAsia="宋体" w:cs="宋体"/>
          <w:color w:val="auto"/>
        </w:rPr>
        <w:t>凡符合《中华人民共和国政府采购法》的规定，并能满足以下资质要求的供应商，均可参加（受到行政处罚尚在禁止参加政府采购活动期内的供应商谢绝参与）。投标人须具备《中华人民共和国政府采购法》第二十二条第一款规定的条件。投标人须保证以下材料真实性并承担相关的法律责任。</w:t>
      </w:r>
    </w:p>
    <w:p>
      <w:pPr>
        <w:spacing w:line="360" w:lineRule="auto"/>
        <w:rPr>
          <w:rFonts w:hint="eastAsia" w:ascii="宋体" w:hAnsi="宋体" w:eastAsia="宋体" w:cs="宋体"/>
          <w:sz w:val="24"/>
          <w:szCs w:val="24"/>
        </w:rPr>
      </w:pPr>
      <w:r>
        <w:rPr>
          <w:rFonts w:hint="eastAsia" w:ascii="宋体" w:hAnsi="宋体" w:eastAsia="宋体" w:cs="宋体"/>
          <w:sz w:val="24"/>
          <w:szCs w:val="24"/>
        </w:rPr>
        <w:t>(一)营业执照副本或事业单位法人证书或民办非企业单位登记证书或社会团体法人登记证书或基金会法人登记证书复印件并加盖公章；</w:t>
      </w:r>
    </w:p>
    <w:p>
      <w:pPr>
        <w:spacing w:line="360" w:lineRule="auto"/>
        <w:rPr>
          <w:rFonts w:hint="eastAsia" w:ascii="宋体" w:hAnsi="宋体" w:eastAsia="宋体" w:cs="宋体"/>
          <w:sz w:val="24"/>
          <w:szCs w:val="24"/>
        </w:rPr>
      </w:pPr>
      <w:r>
        <w:rPr>
          <w:rFonts w:hint="eastAsia" w:ascii="宋体" w:hAnsi="宋体" w:eastAsia="宋体" w:cs="宋体"/>
          <w:sz w:val="24"/>
          <w:szCs w:val="24"/>
        </w:rPr>
        <w:t>(二)财务状况报告等相关材料：提供201</w:t>
      </w:r>
      <w:r>
        <w:rPr>
          <w:rFonts w:hint="eastAsia" w:ascii="宋体" w:hAnsi="宋体" w:eastAsia="宋体" w:cs="宋体"/>
          <w:sz w:val="24"/>
          <w:szCs w:val="24"/>
          <w:lang w:val="en-US" w:eastAsia="zh-CN"/>
        </w:rPr>
        <w:t>8</w:t>
      </w:r>
      <w:r>
        <w:rPr>
          <w:rFonts w:hint="eastAsia" w:ascii="宋体" w:hAnsi="宋体" w:eastAsia="宋体" w:cs="宋体"/>
          <w:sz w:val="24"/>
          <w:szCs w:val="24"/>
        </w:rPr>
        <w:t>年度</w:t>
      </w:r>
      <w:r>
        <w:rPr>
          <w:rFonts w:hint="eastAsia" w:ascii="宋体" w:hAnsi="宋体" w:eastAsia="宋体" w:cs="宋体"/>
          <w:sz w:val="24"/>
          <w:szCs w:val="24"/>
          <w:lang w:eastAsia="zh-CN"/>
        </w:rPr>
        <w:t>或</w:t>
      </w:r>
      <w:r>
        <w:rPr>
          <w:rFonts w:hint="eastAsia" w:ascii="宋体" w:hAnsi="宋体" w:eastAsia="宋体" w:cs="宋体"/>
          <w:sz w:val="24"/>
          <w:szCs w:val="24"/>
          <w:lang w:val="en-US" w:eastAsia="zh-CN"/>
        </w:rPr>
        <w:t>2019年度</w:t>
      </w:r>
      <w:r>
        <w:rPr>
          <w:rFonts w:hint="eastAsia" w:ascii="宋体" w:hAnsi="宋体" w:eastAsia="宋体" w:cs="宋体"/>
          <w:sz w:val="24"/>
          <w:szCs w:val="24"/>
        </w:rPr>
        <w:t>经第三方会计师事务所审计的企业财务报告扫描件或近三个月银行出具的资信证明复印件并加盖公章。注：</w:t>
      </w:r>
      <w:r>
        <w:rPr>
          <w:rFonts w:hint="eastAsia" w:ascii="宋体" w:hAnsi="宋体" w:eastAsia="宋体" w:cs="宋体"/>
          <w:sz w:val="24"/>
          <w:szCs w:val="24"/>
          <w:lang w:eastAsia="zh-CN"/>
        </w:rPr>
        <w:t>上面</w:t>
      </w:r>
      <w:r>
        <w:rPr>
          <w:rFonts w:hint="eastAsia" w:ascii="宋体" w:hAnsi="宋体" w:eastAsia="宋体" w:cs="宋体"/>
          <w:sz w:val="24"/>
          <w:szCs w:val="24"/>
        </w:rPr>
        <w:t>两项提供任意一项均可；</w:t>
      </w:r>
    </w:p>
    <w:p>
      <w:pPr>
        <w:shd w:val="clear" w:color="auto" w:fill="FFFFFF"/>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(三)投标人具有依法缴纳税收和社会保障资金的良好记录，提供20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eastAsia="宋体" w:cs="宋体"/>
          <w:sz w:val="24"/>
          <w:szCs w:val="24"/>
          <w:lang w:eastAsia="zh-CN"/>
        </w:rPr>
        <w:t>任意</w:t>
      </w:r>
      <w:r>
        <w:rPr>
          <w:rFonts w:hint="eastAsia" w:ascii="宋体" w:hAnsi="宋体" w:eastAsia="宋体" w:cs="宋体"/>
          <w:sz w:val="24"/>
          <w:szCs w:val="24"/>
        </w:rPr>
        <w:t>1个月的依法缴纳税收和社会保险费的相关证明材料复印件并加盖公章</w:t>
      </w:r>
      <w:r>
        <w:rPr>
          <w:rFonts w:hint="eastAsia" w:ascii="宋体" w:hAnsi="宋体" w:eastAsia="宋体" w:cs="宋体"/>
          <w:sz w:val="24"/>
          <w:szCs w:val="24"/>
          <w:lang w:val="en-US" w:eastAsia="zh-CN"/>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四)投标人若为法定代表人本人投标，须提供法定代表人本人身份证明书(需由法定代表人签字或盖章)和法定代表人本人有效身份证明(身份证、机动车驾驶证、护照、港澳通行证、社保卡等能证明身份的证件原件均可)原件；投标人若为被授权人投标，须提供法人代表授权书(需由法定代表人签字或盖章)和被授权人有效身份证明(身份证、机动车驾驶证、护照、港澳通行证、社保卡等能证明身份的证件原件均可)原件；</w:t>
      </w:r>
    </w:p>
    <w:p>
      <w:pPr>
        <w:spacing w:line="360" w:lineRule="auto"/>
        <w:rPr>
          <w:rFonts w:hint="eastAsia" w:ascii="宋体" w:hAnsi="宋体" w:eastAsia="宋体" w:cs="宋体"/>
          <w:sz w:val="24"/>
          <w:szCs w:val="24"/>
        </w:rPr>
      </w:pPr>
      <w:r>
        <w:rPr>
          <w:rFonts w:hint="eastAsia" w:ascii="宋体" w:hAnsi="宋体" w:eastAsia="宋体" w:cs="宋体"/>
          <w:sz w:val="24"/>
          <w:szCs w:val="24"/>
        </w:rPr>
        <w:t>(五)投标人参加政府采购活动前三年内，在经营活动中没有重大违法记录的书面声明原件加盖公章；(截至开标日成立不足3年的供应商可提供自成立以来无重大违法记录的书面声明)；</w:t>
      </w:r>
    </w:p>
    <w:p>
      <w:pPr>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六</w:t>
      </w:r>
      <w:r>
        <w:rPr>
          <w:rFonts w:hint="eastAsia" w:ascii="宋体" w:hAnsi="宋体" w:eastAsia="宋体" w:cs="宋体"/>
          <w:sz w:val="24"/>
          <w:szCs w:val="24"/>
        </w:rPr>
        <w:t>)本项目不接受联合体投标</w:t>
      </w:r>
      <w:r>
        <w:rPr>
          <w:rFonts w:hint="eastAsia" w:ascii="宋体" w:hAnsi="宋体" w:eastAsia="宋体" w:cs="宋体"/>
          <w:sz w:val="24"/>
          <w:szCs w:val="24"/>
          <w:lang w:eastAsia="zh-CN"/>
        </w:rPr>
        <w:t>，提供非联合体声明函</w:t>
      </w:r>
      <w:r>
        <w:rPr>
          <w:rFonts w:hint="eastAsia" w:ascii="宋体" w:hAnsi="宋体" w:eastAsia="宋体" w:cs="宋体"/>
          <w:sz w:val="24"/>
          <w:szCs w:val="24"/>
        </w:rPr>
        <w:t>。</w:t>
      </w:r>
    </w:p>
    <w:p>
      <w:pPr>
        <w:spacing w:line="360" w:lineRule="auto"/>
        <w:rPr>
          <w:rFonts w:hint="eastAsia" w:ascii="宋体" w:hAnsi="宋体" w:eastAsia="宋体" w:cs="宋体"/>
          <w:lang w:eastAsia="zh-CN"/>
        </w:rPr>
      </w:pPr>
      <w:r>
        <w:rPr>
          <w:rFonts w:hint="eastAsia" w:ascii="宋体" w:hAnsi="宋体" w:eastAsia="宋体" w:cs="宋体"/>
          <w:sz w:val="24"/>
          <w:szCs w:val="24"/>
          <w:lang w:eastAsia="zh-CN"/>
        </w:rPr>
        <w:t>（七）本项目只针对小微企业投标，提供小微企业声明函。</w:t>
      </w:r>
    </w:p>
    <w:p>
      <w:pPr>
        <w:pStyle w:val="23"/>
        <w:spacing w:line="360" w:lineRule="auto"/>
        <w:jc w:val="both"/>
        <w:rPr>
          <w:rFonts w:hint="eastAsia" w:ascii="宋体" w:hAnsi="宋体" w:eastAsia="宋体" w:cs="宋体"/>
          <w:b/>
          <w:bCs/>
          <w:color w:val="auto"/>
        </w:rPr>
      </w:pPr>
      <w:r>
        <w:rPr>
          <w:rFonts w:hint="eastAsia" w:ascii="宋体" w:hAnsi="宋体" w:eastAsia="宋体" w:cs="宋体"/>
          <w:b/>
          <w:bCs/>
          <w:color w:val="auto"/>
        </w:rPr>
        <w:t>注：供应商参标时需单独携带实质性要求所有文件（标注原件必须携带原件，标注携带复印件的及未标注原件和复印件的，携带复印件、原件均可</w:t>
      </w:r>
      <w:r>
        <w:rPr>
          <w:rFonts w:hint="eastAsia" w:ascii="宋体" w:hAnsi="宋体" w:eastAsia="宋体" w:cs="宋体"/>
          <w:b/>
          <w:bCs/>
          <w:color w:val="auto"/>
          <w:lang w:eastAsia="zh-CN"/>
        </w:rPr>
        <w:t>，</w:t>
      </w:r>
      <w:r>
        <w:rPr>
          <w:rFonts w:hint="eastAsia" w:ascii="宋体" w:hAnsi="宋体" w:eastAsia="宋体" w:cs="宋体"/>
          <w:b/>
          <w:bCs/>
          <w:color w:val="auto"/>
        </w:rPr>
        <w:t>以备查验，同时将复印件制作在响应文件中）。</w:t>
      </w:r>
    </w:p>
    <w:p>
      <w:pPr>
        <w:pStyle w:val="23"/>
        <w:spacing w:line="360" w:lineRule="auto"/>
        <w:jc w:val="both"/>
        <w:outlineLvl w:val="1"/>
        <w:rPr>
          <w:rFonts w:hint="eastAsia" w:ascii="宋体" w:hAnsi="宋体" w:eastAsia="宋体" w:cs="宋体"/>
          <w:b/>
          <w:bCs/>
          <w:color w:val="auto"/>
        </w:rPr>
      </w:pPr>
      <w:r>
        <w:rPr>
          <w:rFonts w:hint="eastAsia" w:ascii="宋体" w:hAnsi="宋体" w:eastAsia="宋体" w:cs="宋体"/>
          <w:b/>
          <w:bCs/>
          <w:color w:val="auto"/>
        </w:rPr>
        <w:t>三、资信要求</w:t>
      </w:r>
    </w:p>
    <w:p>
      <w:pPr>
        <w:pStyle w:val="23"/>
        <w:spacing w:line="360" w:lineRule="auto"/>
        <w:jc w:val="both"/>
        <w:rPr>
          <w:rFonts w:hint="eastAsia" w:ascii="宋体" w:hAnsi="宋体" w:eastAsia="宋体" w:cs="宋体"/>
          <w:color w:val="auto"/>
        </w:rPr>
      </w:pPr>
      <w:r>
        <w:rPr>
          <w:rFonts w:hint="eastAsia" w:ascii="宋体" w:hAnsi="宋体" w:eastAsia="宋体" w:cs="宋体"/>
          <w:color w:val="auto"/>
        </w:rPr>
        <w:t>（一）投标人须提供“真诚投标承诺书”（加盖投标单位公章）；</w:t>
      </w:r>
    </w:p>
    <w:p>
      <w:pPr>
        <w:pStyle w:val="23"/>
        <w:spacing w:line="360" w:lineRule="auto"/>
        <w:jc w:val="both"/>
        <w:rPr>
          <w:rFonts w:hint="eastAsia" w:ascii="宋体" w:hAnsi="宋体" w:eastAsia="宋体" w:cs="宋体"/>
          <w:color w:val="auto"/>
        </w:rPr>
      </w:pPr>
      <w:r>
        <w:rPr>
          <w:rFonts w:hint="eastAsia" w:ascii="宋体" w:hAnsi="宋体" w:eastAsia="宋体" w:cs="宋体"/>
          <w:color w:val="auto"/>
        </w:rPr>
        <w:t>（二）投标人须提供“依法缴纳税收和社会保险承诺书”（加盖投标单位公章）；</w:t>
      </w:r>
    </w:p>
    <w:p>
      <w:pPr>
        <w:pStyle w:val="23"/>
        <w:spacing w:line="360" w:lineRule="auto"/>
        <w:jc w:val="both"/>
        <w:rPr>
          <w:rFonts w:hint="eastAsia" w:ascii="宋体" w:hAnsi="宋体" w:eastAsia="宋体" w:cs="宋体"/>
          <w:color w:val="auto"/>
        </w:rPr>
      </w:pPr>
      <w:r>
        <w:rPr>
          <w:rFonts w:hint="eastAsia" w:ascii="宋体" w:hAnsi="宋体" w:eastAsia="宋体" w:cs="宋体"/>
          <w:color w:val="auto"/>
        </w:rPr>
        <w:t>（三）参加此项投标活动前三年内，在经营活动中没有违法记录；并提供无违法记录声明函。</w:t>
      </w:r>
    </w:p>
    <w:p>
      <w:pPr>
        <w:pStyle w:val="23"/>
        <w:spacing w:line="360" w:lineRule="auto"/>
        <w:jc w:val="both"/>
        <w:outlineLvl w:val="1"/>
        <w:rPr>
          <w:rFonts w:hint="eastAsia" w:ascii="宋体" w:hAnsi="宋体" w:eastAsia="宋体" w:cs="宋体"/>
          <w:b/>
          <w:bCs/>
          <w:color w:val="auto"/>
        </w:rPr>
      </w:pPr>
      <w:r>
        <w:rPr>
          <w:rFonts w:hint="eastAsia" w:ascii="宋体" w:hAnsi="宋体" w:eastAsia="宋体" w:cs="宋体"/>
          <w:b/>
          <w:bCs/>
          <w:color w:val="auto"/>
        </w:rPr>
        <w:t>四、投标人实施能力</w:t>
      </w:r>
    </w:p>
    <w:p>
      <w:pPr>
        <w:pStyle w:val="23"/>
        <w:spacing w:line="360" w:lineRule="auto"/>
        <w:jc w:val="both"/>
        <w:outlineLvl w:val="1"/>
        <w:rPr>
          <w:rFonts w:hint="eastAsia" w:ascii="宋体" w:hAnsi="宋体" w:eastAsia="宋体" w:cs="宋体"/>
          <w:color w:val="auto"/>
          <w:lang w:eastAsia="zh-CN"/>
        </w:rPr>
      </w:pPr>
      <w:r>
        <w:rPr>
          <w:rFonts w:hint="eastAsia" w:ascii="宋体" w:hAnsi="宋体" w:eastAsia="宋体" w:cs="宋体"/>
          <w:color w:val="auto"/>
        </w:rPr>
        <w:t>投标人应自201</w:t>
      </w:r>
      <w:r>
        <w:rPr>
          <w:rFonts w:hint="eastAsia" w:ascii="宋体" w:hAnsi="宋体" w:eastAsia="宋体" w:cs="宋体"/>
          <w:color w:val="auto"/>
          <w:lang w:val="en-US" w:eastAsia="zh-CN"/>
        </w:rPr>
        <w:t>7</w:t>
      </w:r>
      <w:r>
        <w:rPr>
          <w:rFonts w:hint="eastAsia" w:ascii="宋体" w:hAnsi="宋体" w:eastAsia="宋体" w:cs="宋体"/>
          <w:color w:val="auto"/>
        </w:rPr>
        <w:t>年至今完成的或正在实施的与本项目内容相类似的成功案例</w:t>
      </w:r>
      <w:r>
        <w:rPr>
          <w:rFonts w:hint="eastAsia" w:ascii="宋体" w:hAnsi="宋体" w:eastAsia="宋体" w:cs="宋体"/>
          <w:color w:val="auto"/>
          <w:lang w:eastAsia="zh-CN"/>
        </w:rPr>
        <w:t>。</w:t>
      </w:r>
    </w:p>
    <w:p>
      <w:pPr>
        <w:pStyle w:val="23"/>
        <w:spacing w:line="360" w:lineRule="auto"/>
        <w:jc w:val="both"/>
        <w:outlineLvl w:val="1"/>
        <w:rPr>
          <w:rFonts w:hint="eastAsia" w:ascii="宋体" w:hAnsi="宋体" w:eastAsia="宋体" w:cs="宋体"/>
          <w:color w:val="auto"/>
        </w:rPr>
      </w:pPr>
      <w:r>
        <w:rPr>
          <w:rFonts w:hint="eastAsia" w:ascii="宋体" w:hAnsi="宋体" w:eastAsia="宋体" w:cs="宋体"/>
          <w:color w:val="auto"/>
        </w:rPr>
        <w:t>投标人需要按照要求提供与本项目内容相当且已完成或正在实施的成功案例的合同复印件，证明文件照以下要求执行：</w:t>
      </w:r>
    </w:p>
    <w:p>
      <w:pPr>
        <w:pStyle w:val="23"/>
        <w:spacing w:line="360" w:lineRule="auto"/>
        <w:jc w:val="both"/>
        <w:outlineLvl w:val="1"/>
        <w:rPr>
          <w:rFonts w:hint="eastAsia" w:ascii="宋体" w:hAnsi="宋体" w:eastAsia="宋体" w:cs="宋体"/>
          <w:color w:val="auto"/>
        </w:rPr>
      </w:pPr>
      <w:r>
        <w:rPr>
          <w:rFonts w:hint="eastAsia" w:ascii="宋体" w:hAnsi="宋体" w:eastAsia="宋体" w:cs="宋体"/>
          <w:color w:val="auto"/>
        </w:rPr>
        <w:t>合同复印件。包括合同金额、双方名称及盖章、服务内容。</w:t>
      </w:r>
    </w:p>
    <w:p>
      <w:pPr>
        <w:pStyle w:val="23"/>
        <w:spacing w:line="360" w:lineRule="auto"/>
        <w:jc w:val="both"/>
        <w:outlineLvl w:val="1"/>
        <w:rPr>
          <w:rFonts w:ascii="宋体" w:hAnsi="宋体" w:eastAsia="宋体" w:cs="宋体"/>
          <w:b/>
          <w:bCs/>
          <w:color w:val="auto"/>
        </w:rPr>
      </w:pPr>
      <w:r>
        <w:rPr>
          <w:rFonts w:hint="eastAsia" w:ascii="宋体" w:hAnsi="宋体" w:eastAsia="宋体" w:cs="宋体"/>
          <w:b/>
          <w:bCs/>
          <w:color w:val="auto"/>
        </w:rPr>
        <w:t>五、商务要求</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（一）报价要求</w:t>
      </w:r>
    </w:p>
    <w:p>
      <w:pPr>
        <w:pStyle w:val="23"/>
        <w:spacing w:line="360" w:lineRule="auto"/>
        <w:jc w:val="both"/>
        <w:rPr>
          <w:rFonts w:ascii="宋体" w:hAnsi="宋体" w:eastAsia="宋体" w:cs="宋体"/>
          <w:color w:val="auto"/>
        </w:rPr>
      </w:pPr>
      <w:r>
        <w:rPr>
          <w:rFonts w:hint="eastAsia" w:ascii="宋体" w:hAnsi="宋体" w:eastAsia="宋体" w:cs="宋体"/>
          <w:color w:val="auto"/>
        </w:rPr>
        <w:t>1. 投标报价以人民币填列。</w:t>
      </w:r>
    </w:p>
    <w:p>
      <w:pPr>
        <w:pStyle w:val="23"/>
        <w:spacing w:line="360" w:lineRule="auto"/>
        <w:jc w:val="both"/>
        <w:rPr>
          <w:rFonts w:ascii="宋体" w:hAnsi="宋体" w:eastAsia="宋体" w:cs="宋体"/>
          <w:color w:val="auto"/>
          <w:sz w:val="24"/>
          <w:szCs w:val="24"/>
        </w:rPr>
      </w:pPr>
      <w:r>
        <w:rPr>
          <w:rFonts w:hint="eastAsia" w:ascii="宋体" w:hAnsi="宋体" w:eastAsia="宋体" w:cs="宋体"/>
          <w:color w:val="auto"/>
        </w:rPr>
        <w:t>2. 投标人的报价应包括：服务项目应有的费用并分别单列。投标人所报价格为服务期内</w:t>
      </w:r>
      <w:r>
        <w:rPr>
          <w:rFonts w:hint="eastAsia" w:ascii="宋体" w:hAnsi="宋体" w:eastAsia="宋体" w:cs="宋体"/>
          <w:color w:val="auto"/>
          <w:sz w:val="24"/>
          <w:szCs w:val="24"/>
        </w:rPr>
        <w:t>确保正常运行的最终优惠价格。</w:t>
      </w:r>
    </w:p>
    <w:p>
      <w:pPr>
        <w:pStyle w:val="23"/>
        <w:spacing w:line="360" w:lineRule="auto"/>
        <w:jc w:val="both"/>
        <w:rPr>
          <w:rFonts w:ascii="宋体" w:hAnsi="宋体" w:eastAsia="宋体" w:cs="宋体"/>
          <w:color w:val="auto"/>
          <w:sz w:val="24"/>
          <w:szCs w:val="24"/>
        </w:rPr>
      </w:pPr>
      <w:r>
        <w:rPr>
          <w:rFonts w:hint="eastAsia" w:ascii="宋体" w:hAnsi="宋体" w:eastAsia="宋体" w:cs="宋体"/>
          <w:color w:val="auto"/>
          <w:sz w:val="24"/>
          <w:szCs w:val="24"/>
        </w:rPr>
        <w:t>3. 验收及相关费用由投标人负责。</w:t>
      </w:r>
    </w:p>
    <w:p>
      <w:pPr>
        <w:pStyle w:val="23"/>
        <w:spacing w:line="360" w:lineRule="auto"/>
        <w:jc w:val="both"/>
        <w:outlineLvl w:val="2"/>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（二）时间要求</w:t>
      </w:r>
    </w:p>
    <w:p>
      <w:pPr>
        <w:widowControl w:val="0"/>
        <w:adjustRightInd/>
        <w:snapToGrid/>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 xml:space="preserve">1. </w:t>
      </w:r>
      <w:r>
        <w:rPr>
          <w:rFonts w:hint="eastAsia" w:ascii="宋体" w:hAnsi="宋体" w:eastAsia="宋体" w:cs="宋体"/>
          <w:color w:val="auto"/>
          <w:sz w:val="24"/>
          <w:szCs w:val="24"/>
          <w:highlight w:val="none"/>
        </w:rPr>
        <w:t>服务期：</w:t>
      </w:r>
      <w:r>
        <w:rPr>
          <w:rFonts w:hint="eastAsia" w:ascii="宋体" w:hAnsi="宋体" w:eastAsia="宋体" w:cs="宋体"/>
          <w:color w:val="auto"/>
          <w:sz w:val="24"/>
          <w:szCs w:val="24"/>
          <w:highlight w:val="none"/>
          <w:lang w:eastAsia="zh-CN"/>
        </w:rPr>
        <w:t>一个月</w:t>
      </w:r>
    </w:p>
    <w:p>
      <w:pPr>
        <w:widowControl w:val="0"/>
        <w:adjustRightInd/>
        <w:snapToGrid/>
        <w:jc w:val="both"/>
        <w:rPr>
          <w:rFonts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lang w:eastAsia="zh-CN"/>
        </w:rPr>
        <w:t>青源街区域内</w:t>
      </w:r>
    </w:p>
    <w:p>
      <w:pPr>
        <w:pStyle w:val="23"/>
        <w:jc w:val="both"/>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本项目有效期为60天。</w:t>
      </w:r>
    </w:p>
    <w:p>
      <w:pPr>
        <w:pStyle w:val="23"/>
        <w:spacing w:line="360" w:lineRule="auto"/>
        <w:jc w:val="both"/>
        <w:outlineLvl w:val="2"/>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（三）付款方式</w:t>
      </w:r>
    </w:p>
    <w:p>
      <w:pPr>
        <w:pStyle w:val="23"/>
        <w:spacing w:line="360" w:lineRule="auto"/>
        <w:jc w:val="both"/>
        <w:outlineLvl w:val="2"/>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签订合同后，验收合格一次性付清全款。（特殊情况以签订合同为准）</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（四）投标有效期</w:t>
      </w:r>
    </w:p>
    <w:p>
      <w:pPr>
        <w:pStyle w:val="23"/>
        <w:spacing w:line="360" w:lineRule="auto"/>
        <w:jc w:val="both"/>
        <w:rPr>
          <w:rFonts w:ascii="宋体" w:hAnsi="宋体" w:eastAsia="宋体" w:cs="宋体"/>
          <w:color w:val="auto"/>
        </w:rPr>
      </w:pPr>
      <w:r>
        <w:rPr>
          <w:rFonts w:hint="eastAsia" w:ascii="宋体" w:hAnsi="宋体" w:eastAsia="宋体" w:cs="宋体"/>
          <w:color w:val="auto"/>
        </w:rPr>
        <w:t>本项目投标有效期为60天。</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（五）服务要求</w:t>
      </w:r>
    </w:p>
    <w:p>
      <w:pPr>
        <w:pStyle w:val="23"/>
        <w:spacing w:line="360" w:lineRule="auto"/>
        <w:jc w:val="both"/>
        <w:rPr>
          <w:rFonts w:ascii="宋体" w:hAnsi="宋体" w:eastAsia="宋体" w:cs="宋体"/>
          <w:color w:val="auto"/>
        </w:rPr>
      </w:pPr>
      <w:r>
        <w:rPr>
          <w:rFonts w:hint="eastAsia" w:ascii="宋体" w:hAnsi="宋体" w:eastAsia="宋体" w:cs="宋体"/>
          <w:color w:val="auto"/>
        </w:rPr>
        <w:t>1.具体需求详见本部分项目需求书。</w:t>
      </w:r>
    </w:p>
    <w:p>
      <w:pPr>
        <w:pStyle w:val="23"/>
        <w:spacing w:line="360" w:lineRule="auto"/>
        <w:jc w:val="both"/>
        <w:rPr>
          <w:rFonts w:ascii="宋体" w:hAnsi="宋体" w:eastAsia="宋体" w:cs="宋体"/>
          <w:color w:val="auto"/>
        </w:rPr>
      </w:pPr>
      <w:r>
        <w:rPr>
          <w:rFonts w:hint="eastAsia" w:ascii="宋体" w:hAnsi="宋体" w:eastAsia="宋体" w:cs="宋体"/>
          <w:color w:val="auto"/>
        </w:rPr>
        <w:t>2.根据《中华人民共和国劳动合同法》及其他法律法规的要求，本项目成交供应商须与实施服务人员签订用工合同并缴纳社会保险。</w:t>
      </w:r>
    </w:p>
    <w:p>
      <w:pPr>
        <w:pStyle w:val="23"/>
        <w:spacing w:line="360" w:lineRule="auto"/>
        <w:jc w:val="both"/>
        <w:rPr>
          <w:rFonts w:ascii="宋体" w:hAnsi="宋体" w:eastAsia="宋体" w:cs="宋体"/>
          <w:color w:val="auto"/>
        </w:rPr>
      </w:pPr>
      <w:r>
        <w:rPr>
          <w:rFonts w:hint="eastAsia" w:ascii="宋体" w:hAnsi="宋体" w:eastAsia="宋体" w:cs="宋体"/>
          <w:color w:val="auto"/>
        </w:rPr>
        <w:t>3.本项目不接受赠品或者与采购无关的其他商品、服务，投标人亦不得以采购人要求实施前述馈赠、回扣等行为。</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 xml:space="preserve">（六)对投标方的其他要求：  </w:t>
      </w:r>
    </w:p>
    <w:p>
      <w:pPr>
        <w:pStyle w:val="23"/>
        <w:spacing w:line="360" w:lineRule="auto"/>
        <w:jc w:val="both"/>
        <w:rPr>
          <w:rFonts w:ascii="宋体" w:hAnsi="宋体" w:eastAsia="宋体" w:cs="宋体"/>
          <w:color w:val="auto"/>
        </w:rPr>
      </w:pPr>
      <w:r>
        <w:rPr>
          <w:rFonts w:hint="eastAsia" w:ascii="宋体" w:hAnsi="宋体" w:eastAsia="宋体" w:cs="宋体"/>
          <w:color w:val="auto"/>
        </w:rPr>
        <w:t>1、如因服务人员离职、享受探亲假或请事假，而出现缺编的现象，投标方应在即日内补齐, 不得空岗。</w:t>
      </w:r>
    </w:p>
    <w:p>
      <w:pPr>
        <w:pStyle w:val="23"/>
        <w:spacing w:line="360" w:lineRule="auto"/>
        <w:jc w:val="both"/>
        <w:rPr>
          <w:rFonts w:ascii="宋体" w:hAnsi="宋体" w:eastAsia="宋体" w:cs="宋体"/>
          <w:color w:val="auto"/>
        </w:rPr>
      </w:pPr>
      <w:r>
        <w:rPr>
          <w:rFonts w:hint="eastAsia" w:ascii="宋体" w:hAnsi="宋体" w:eastAsia="宋体" w:cs="宋体"/>
          <w:color w:val="auto"/>
        </w:rPr>
        <w:t>2、在服务过程中，因服务人员过失，造成招标方财产丢失、损失的，由提供服务的公司负责赔偿。</w:t>
      </w:r>
    </w:p>
    <w:p>
      <w:pPr>
        <w:pStyle w:val="23"/>
        <w:spacing w:line="360" w:lineRule="auto"/>
        <w:jc w:val="both"/>
        <w:rPr>
          <w:rFonts w:ascii="宋体" w:hAnsi="宋体" w:eastAsia="宋体" w:cs="宋体"/>
          <w:color w:val="auto"/>
        </w:rPr>
      </w:pPr>
      <w:r>
        <w:rPr>
          <w:rFonts w:hint="eastAsia" w:ascii="宋体" w:hAnsi="宋体" w:eastAsia="宋体" w:cs="宋体"/>
          <w:color w:val="auto"/>
        </w:rPr>
        <w:t>3、投标方应负责办理服务人员在津务工的就业证、居住证等各种证件。</w:t>
      </w:r>
    </w:p>
    <w:p>
      <w:pPr>
        <w:pStyle w:val="23"/>
        <w:spacing w:line="360" w:lineRule="auto"/>
        <w:jc w:val="both"/>
        <w:rPr>
          <w:rFonts w:ascii="宋体" w:hAnsi="宋体" w:eastAsia="宋体" w:cs="宋体"/>
          <w:color w:val="auto"/>
        </w:rPr>
      </w:pPr>
      <w:r>
        <w:rPr>
          <w:rFonts w:hint="eastAsia" w:ascii="宋体" w:hAnsi="宋体" w:eastAsia="宋体" w:cs="宋体"/>
          <w:color w:val="auto"/>
        </w:rPr>
        <w:t>4、招标方不负责提供服务人员上下班班车。</w:t>
      </w:r>
    </w:p>
    <w:p>
      <w:pPr>
        <w:pStyle w:val="23"/>
        <w:spacing w:line="360" w:lineRule="auto"/>
        <w:jc w:val="both"/>
        <w:rPr>
          <w:rFonts w:ascii="宋体" w:hAnsi="宋体" w:eastAsia="宋体" w:cs="宋体"/>
          <w:color w:val="auto"/>
        </w:rPr>
      </w:pPr>
      <w:r>
        <w:rPr>
          <w:rFonts w:hint="eastAsia" w:ascii="宋体" w:hAnsi="宋体" w:eastAsia="宋体" w:cs="宋体"/>
          <w:color w:val="auto"/>
        </w:rPr>
        <w:t>5、服务人员在岗期间发生一切意外伤害、生病或非正常死亡，与招标方无关，均由投标方承担并处理善后事宜。</w:t>
      </w:r>
    </w:p>
    <w:p>
      <w:pPr>
        <w:pStyle w:val="23"/>
        <w:spacing w:line="360" w:lineRule="auto"/>
        <w:jc w:val="both"/>
        <w:rPr>
          <w:rFonts w:ascii="宋体" w:hAnsi="宋体" w:eastAsia="宋体" w:cs="宋体"/>
          <w:color w:val="auto"/>
        </w:rPr>
      </w:pPr>
      <w:r>
        <w:rPr>
          <w:rFonts w:hint="eastAsia" w:ascii="宋体" w:hAnsi="宋体" w:eastAsia="宋体" w:cs="宋体"/>
          <w:color w:val="auto"/>
        </w:rPr>
        <w:t>6、投标方应对所有服务人员要进行岗前培训，并有严格的管理及检查考核制度。</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（七）磋商要求</w:t>
      </w:r>
    </w:p>
    <w:p>
      <w:pPr>
        <w:pStyle w:val="23"/>
        <w:spacing w:line="360" w:lineRule="auto"/>
        <w:jc w:val="both"/>
        <w:rPr>
          <w:rFonts w:ascii="宋体" w:hAnsi="宋体" w:eastAsia="宋体" w:cs="宋体"/>
          <w:color w:val="auto"/>
        </w:rPr>
      </w:pPr>
      <w:r>
        <w:rPr>
          <w:rFonts w:hint="eastAsia" w:ascii="宋体" w:hAnsi="宋体" w:eastAsia="宋体" w:cs="宋体"/>
          <w:color w:val="auto"/>
        </w:rPr>
        <w:t>1. 投标人须整包进行投标，不得拆包分项投标。</w:t>
      </w:r>
    </w:p>
    <w:p>
      <w:pPr>
        <w:pStyle w:val="23"/>
        <w:spacing w:line="360" w:lineRule="auto"/>
        <w:jc w:val="both"/>
        <w:rPr>
          <w:rFonts w:ascii="宋体" w:hAnsi="宋体" w:eastAsia="宋体" w:cs="宋体"/>
          <w:color w:val="auto"/>
        </w:rPr>
      </w:pPr>
      <w:r>
        <w:rPr>
          <w:rFonts w:hint="eastAsia" w:ascii="宋体" w:hAnsi="宋体" w:eastAsia="宋体" w:cs="宋体"/>
          <w:color w:val="auto"/>
        </w:rPr>
        <w:t>2. 未经采购人同意，</w:t>
      </w:r>
      <w:r>
        <w:rPr>
          <w:rFonts w:hint="eastAsia" w:ascii="宋体" w:hAnsi="宋体" w:eastAsia="宋体" w:cs="宋体"/>
          <w:color w:val="auto"/>
          <w:lang w:eastAsia="zh-CN"/>
        </w:rPr>
        <w:t>成交</w:t>
      </w:r>
      <w:r>
        <w:rPr>
          <w:rFonts w:hint="eastAsia" w:ascii="宋体" w:hAnsi="宋体" w:eastAsia="宋体" w:cs="宋体"/>
          <w:color w:val="auto"/>
        </w:rPr>
        <w:t>单位不得转让合同，不得转包或分包。</w:t>
      </w:r>
    </w:p>
    <w:p>
      <w:pPr>
        <w:pStyle w:val="23"/>
        <w:spacing w:line="360" w:lineRule="auto"/>
        <w:jc w:val="both"/>
        <w:rPr>
          <w:rFonts w:ascii="宋体" w:hAnsi="宋体" w:eastAsia="宋体" w:cs="宋体"/>
          <w:color w:val="auto"/>
        </w:rPr>
      </w:pPr>
      <w:r>
        <w:rPr>
          <w:rFonts w:hint="eastAsia" w:ascii="宋体" w:hAnsi="宋体" w:eastAsia="宋体" w:cs="宋体"/>
          <w:color w:val="auto"/>
        </w:rPr>
        <w:t>3. 本项目不允许联合体投标。</w:t>
      </w:r>
    </w:p>
    <w:p>
      <w:pPr>
        <w:pStyle w:val="23"/>
        <w:spacing w:line="360" w:lineRule="auto"/>
        <w:jc w:val="both"/>
        <w:rPr>
          <w:rFonts w:ascii="宋体" w:hAnsi="宋体" w:eastAsia="宋体" w:cs="宋体"/>
          <w:b/>
          <w:bCs/>
          <w:color w:val="auto"/>
        </w:rPr>
      </w:pPr>
      <w:r>
        <w:rPr>
          <w:rFonts w:hint="eastAsia" w:ascii="宋体" w:hAnsi="宋体" w:eastAsia="宋体" w:cs="宋体"/>
          <w:color w:val="auto"/>
        </w:rPr>
        <w:t>4. 本项目由采购人自行验收。（如采购人提出需求，可委托代理机构组织验收）。</w:t>
      </w:r>
    </w:p>
    <w:p>
      <w:pPr>
        <w:pStyle w:val="23"/>
        <w:spacing w:line="360" w:lineRule="auto"/>
        <w:jc w:val="both"/>
        <w:outlineLvl w:val="1"/>
        <w:rPr>
          <w:rFonts w:ascii="宋体" w:hAnsi="宋体" w:eastAsia="宋体" w:cs="宋体"/>
          <w:b/>
          <w:bCs/>
          <w:color w:val="auto"/>
        </w:rPr>
      </w:pPr>
      <w:r>
        <w:rPr>
          <w:rFonts w:hint="eastAsia" w:ascii="宋体" w:hAnsi="宋体" w:eastAsia="宋体" w:cs="宋体"/>
          <w:b/>
          <w:bCs/>
          <w:color w:val="auto"/>
        </w:rPr>
        <w:t>六、磋商程序</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（一）参加人员及要求</w:t>
      </w:r>
    </w:p>
    <w:p>
      <w:pPr>
        <w:pStyle w:val="23"/>
        <w:spacing w:line="360" w:lineRule="auto"/>
        <w:jc w:val="both"/>
        <w:rPr>
          <w:rFonts w:ascii="宋体" w:hAnsi="宋体" w:eastAsia="宋体" w:cs="宋体"/>
          <w:color w:val="auto"/>
        </w:rPr>
      </w:pPr>
      <w:r>
        <w:rPr>
          <w:rFonts w:hint="eastAsia" w:ascii="宋体" w:hAnsi="宋体" w:eastAsia="宋体" w:cs="宋体"/>
          <w:color w:val="auto"/>
        </w:rPr>
        <w:t>1. 投标人须由法定代表人或其授权的委托代理人参加投标，随时准备对评委的询问予以解答。代理人须携带法定代表人授权书的原件，否则为无效投标。</w:t>
      </w:r>
    </w:p>
    <w:p>
      <w:pPr>
        <w:pStyle w:val="23"/>
        <w:spacing w:line="360" w:lineRule="auto"/>
        <w:jc w:val="both"/>
        <w:rPr>
          <w:rFonts w:ascii="宋体" w:hAnsi="宋体" w:eastAsia="宋体" w:cs="宋体"/>
          <w:color w:val="auto"/>
        </w:rPr>
      </w:pPr>
      <w:r>
        <w:rPr>
          <w:rFonts w:hint="eastAsia" w:ascii="宋体" w:hAnsi="宋体" w:eastAsia="宋体" w:cs="宋体"/>
          <w:color w:val="auto"/>
        </w:rPr>
        <w:t>2. 法定代表人或其代理人参加开标仪式，须携带身份证或其他与法定代表人或其代理人身份相符的有效证件原件，以备查验，未按时提供的视为无效投标。</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（二）报名</w:t>
      </w:r>
    </w:p>
    <w:p>
      <w:pPr>
        <w:pStyle w:val="23"/>
        <w:spacing w:line="360" w:lineRule="auto"/>
        <w:jc w:val="both"/>
        <w:rPr>
          <w:rFonts w:ascii="宋体" w:hAnsi="宋体" w:eastAsia="宋体" w:cs="宋体"/>
          <w:color w:val="auto"/>
        </w:rPr>
      </w:pPr>
      <w:r>
        <w:rPr>
          <w:rFonts w:hint="eastAsia" w:ascii="宋体" w:hAnsi="宋体" w:eastAsia="宋体" w:cs="宋体"/>
          <w:color w:val="auto"/>
        </w:rPr>
        <w:t>投标人应在信息公告发布后到天津同力源工程咨询有限公司报名参标。</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（三）纸质投标文件的递交</w:t>
      </w:r>
    </w:p>
    <w:p>
      <w:pPr>
        <w:pStyle w:val="23"/>
        <w:spacing w:line="360" w:lineRule="auto"/>
        <w:jc w:val="both"/>
        <w:rPr>
          <w:rFonts w:ascii="宋体" w:hAnsi="宋体" w:eastAsia="宋体" w:cs="宋体"/>
          <w:color w:val="auto"/>
        </w:rPr>
      </w:pPr>
      <w:r>
        <w:rPr>
          <w:rFonts w:hint="eastAsia" w:ascii="宋体" w:hAnsi="宋体" w:eastAsia="宋体" w:cs="宋体"/>
          <w:color w:val="auto"/>
        </w:rPr>
        <w:t>按照规定的时间，投标人须携带纸质投标文件接受审查。</w:t>
      </w:r>
    </w:p>
    <w:p>
      <w:pPr>
        <w:pStyle w:val="23"/>
        <w:spacing w:line="360" w:lineRule="auto"/>
        <w:jc w:val="both"/>
        <w:rPr>
          <w:rFonts w:ascii="宋体" w:hAnsi="宋体" w:eastAsia="宋体" w:cs="宋体"/>
          <w:color w:val="auto"/>
        </w:rPr>
      </w:pPr>
      <w:r>
        <w:rPr>
          <w:rFonts w:hint="eastAsia" w:ascii="宋体" w:hAnsi="宋体" w:eastAsia="宋体" w:cs="宋体"/>
          <w:color w:val="auto"/>
        </w:rPr>
        <w:t>第一步：首先对投标人的资格、资信进行审查，内容如下：</w:t>
      </w:r>
    </w:p>
    <w:tbl>
      <w:tblPr>
        <w:tblStyle w:val="17"/>
        <w:tblW w:w="8383" w:type="dxa"/>
        <w:tblInd w:w="89" w:type="dxa"/>
        <w:tblLayout w:type="fixed"/>
        <w:tblCellMar>
          <w:top w:w="0" w:type="dxa"/>
          <w:left w:w="108" w:type="dxa"/>
          <w:bottom w:w="0" w:type="dxa"/>
          <w:right w:w="108" w:type="dxa"/>
        </w:tblCellMar>
      </w:tblPr>
      <w:tblGrid>
        <w:gridCol w:w="2140"/>
        <w:gridCol w:w="6243"/>
      </w:tblGrid>
      <w:tr>
        <w:tblPrEx>
          <w:tblCellMar>
            <w:top w:w="0" w:type="dxa"/>
            <w:left w:w="108" w:type="dxa"/>
            <w:bottom w:w="0" w:type="dxa"/>
            <w:right w:w="108" w:type="dxa"/>
          </w:tblCellMar>
        </w:tblPrEx>
        <w:trPr>
          <w:trHeight w:val="353" w:hRule="atLeast"/>
          <w:tblHeader/>
        </w:trPr>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hAnsi="Arial" w:cs="Arial"/>
                <w:b/>
                <w:sz w:val="24"/>
                <w:szCs w:val="24"/>
              </w:rPr>
            </w:pPr>
            <w:r>
              <w:rPr>
                <w:rFonts w:ascii="Arial" w:cs="Arial" w:hAnsiTheme="minorEastAsia"/>
                <w:b/>
                <w:sz w:val="24"/>
                <w:szCs w:val="24"/>
              </w:rPr>
              <w:t>审查内容</w:t>
            </w:r>
          </w:p>
        </w:tc>
        <w:tc>
          <w:tcPr>
            <w:tcW w:w="6243" w:type="dxa"/>
            <w:tcBorders>
              <w:top w:val="single" w:color="auto" w:sz="4" w:space="0"/>
              <w:left w:val="nil"/>
              <w:bottom w:val="single" w:color="auto" w:sz="4" w:space="0"/>
              <w:right w:val="single" w:color="auto" w:sz="4" w:space="0"/>
            </w:tcBorders>
            <w:shd w:val="clear" w:color="auto" w:fill="auto"/>
            <w:vAlign w:val="center"/>
          </w:tcPr>
          <w:p>
            <w:pPr>
              <w:spacing w:line="420" w:lineRule="exact"/>
              <w:jc w:val="center"/>
              <w:rPr>
                <w:rFonts w:ascii="Arial" w:hAnsi="Arial" w:cs="Arial"/>
                <w:b/>
                <w:color w:val="000000"/>
                <w:sz w:val="24"/>
                <w:szCs w:val="24"/>
              </w:rPr>
            </w:pPr>
            <w:r>
              <w:rPr>
                <w:rFonts w:ascii="Arial" w:cs="Arial" w:hAnsiTheme="minorEastAsia"/>
                <w:b/>
                <w:color w:val="000000"/>
                <w:sz w:val="24"/>
                <w:szCs w:val="24"/>
              </w:rPr>
              <w:t>具体要求</w:t>
            </w:r>
          </w:p>
        </w:tc>
      </w:tr>
      <w:tr>
        <w:tblPrEx>
          <w:tblCellMar>
            <w:top w:w="0" w:type="dxa"/>
            <w:left w:w="108" w:type="dxa"/>
            <w:bottom w:w="0" w:type="dxa"/>
            <w:right w:w="108" w:type="dxa"/>
          </w:tblCellMar>
        </w:tblPrEx>
        <w:trPr>
          <w:trHeight w:val="1140" w:hRule="atLeast"/>
        </w:trPr>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营业执照</w:t>
            </w:r>
          </w:p>
        </w:tc>
        <w:tc>
          <w:tcPr>
            <w:tcW w:w="6243" w:type="dxa"/>
            <w:tcBorders>
              <w:top w:val="single" w:color="auto" w:sz="4" w:space="0"/>
              <w:left w:val="nil"/>
              <w:bottom w:val="single" w:color="auto" w:sz="4" w:space="0"/>
              <w:right w:val="single" w:color="auto" w:sz="4" w:space="0"/>
            </w:tcBorders>
            <w:shd w:val="clear" w:color="auto" w:fill="auto"/>
            <w:vAlign w:val="center"/>
          </w:tcPr>
          <w:p>
            <w:pPr>
              <w:spacing w:line="420" w:lineRule="exact"/>
              <w:rPr>
                <w:rFonts w:ascii="Arial" w:cs="Arial" w:hAnsiTheme="minorEastAsia" w:eastAsiaTheme="minorEastAsia"/>
                <w:color w:val="000000"/>
                <w:sz w:val="24"/>
                <w:szCs w:val="24"/>
              </w:rPr>
            </w:pPr>
            <w:r>
              <w:rPr>
                <w:rFonts w:hint="eastAsia" w:ascii="Arial" w:hAnsi="宋体" w:eastAsia="宋体" w:cs="Arial"/>
                <w:sz w:val="24"/>
                <w:szCs w:val="24"/>
              </w:rPr>
              <w:t>营业执照副本或事业单位法人证书或民办非企业单位登记证书或社会团体法人登记证书或基金会法人登记证书复印件并加盖公章</w:t>
            </w:r>
          </w:p>
        </w:tc>
      </w:tr>
      <w:tr>
        <w:tblPrEx>
          <w:tblCellMar>
            <w:top w:w="0" w:type="dxa"/>
            <w:left w:w="108" w:type="dxa"/>
            <w:bottom w:w="0" w:type="dxa"/>
            <w:right w:w="108" w:type="dxa"/>
          </w:tblCellMar>
        </w:tblPrEx>
        <w:trPr>
          <w:trHeight w:val="765" w:hRule="atLeast"/>
        </w:trPr>
        <w:tc>
          <w:tcPr>
            <w:tcW w:w="2140" w:type="dxa"/>
            <w:tcBorders>
              <w:top w:val="nil"/>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身份证明</w:t>
            </w:r>
          </w:p>
        </w:tc>
        <w:tc>
          <w:tcPr>
            <w:tcW w:w="6243" w:type="dxa"/>
            <w:tcBorders>
              <w:top w:val="nil"/>
              <w:left w:val="nil"/>
              <w:bottom w:val="single" w:color="auto" w:sz="4" w:space="0"/>
              <w:right w:val="single" w:color="auto" w:sz="4" w:space="0"/>
            </w:tcBorders>
            <w:shd w:val="clear" w:color="auto" w:fill="auto"/>
            <w:vAlign w:val="center"/>
          </w:tcPr>
          <w:p>
            <w:pPr>
              <w:spacing w:line="420" w:lineRule="exact"/>
              <w:jc w:val="center"/>
              <w:rPr>
                <w:rFonts w:ascii="Arial" w:hAnsi="宋体" w:eastAsia="宋体" w:cs="Arial"/>
                <w:sz w:val="24"/>
                <w:szCs w:val="24"/>
              </w:rPr>
            </w:pPr>
            <w:r>
              <w:rPr>
                <w:rFonts w:ascii="Arial" w:hAnsi="宋体" w:eastAsia="宋体" w:cs="Arial"/>
                <w:sz w:val="24"/>
                <w:szCs w:val="24"/>
              </w:rPr>
              <w:t>投标人若为法定代表人本人投标，须提供法定代表人本人身份证明书(需由法定代表人签字或盖章)和法定代表人本人有效身份证明(身份证、机动车驾驶证、护照、港澳通行证、社保卡等能证明身份的证件原件均可)原件；</w:t>
            </w:r>
          </w:p>
          <w:p>
            <w:pPr>
              <w:spacing w:line="420" w:lineRule="exact"/>
              <w:jc w:val="center"/>
              <w:rPr>
                <w:rFonts w:ascii="Arial" w:cs="Arial" w:hAnsiTheme="minorEastAsia" w:eastAsiaTheme="minorEastAsia"/>
                <w:color w:val="000000"/>
                <w:sz w:val="24"/>
                <w:szCs w:val="24"/>
              </w:rPr>
            </w:pPr>
            <w:r>
              <w:rPr>
                <w:rFonts w:ascii="Arial" w:hAnsi="宋体" w:eastAsia="宋体" w:cs="Arial"/>
                <w:sz w:val="24"/>
                <w:szCs w:val="24"/>
              </w:rPr>
              <w:t>投标人若为被授权人投标，须提供法人代表授权书(需由法定代表人签字或盖章)和被授权人有效身份证明(身份证、机动车驾驶证、护照、港澳通行证、社保卡等能证明身份的证件原件均可)原件</w:t>
            </w:r>
          </w:p>
        </w:tc>
      </w:tr>
      <w:tr>
        <w:tblPrEx>
          <w:tblCellMar>
            <w:top w:w="0" w:type="dxa"/>
            <w:left w:w="108" w:type="dxa"/>
            <w:bottom w:w="0" w:type="dxa"/>
            <w:right w:w="108" w:type="dxa"/>
          </w:tblCellMar>
        </w:tblPrEx>
        <w:trPr>
          <w:trHeight w:val="455" w:hRule="atLeast"/>
        </w:trPr>
        <w:tc>
          <w:tcPr>
            <w:tcW w:w="2140" w:type="dxa"/>
            <w:tcBorders>
              <w:top w:val="nil"/>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财务状况报告</w:t>
            </w:r>
          </w:p>
        </w:tc>
        <w:tc>
          <w:tcPr>
            <w:tcW w:w="6243" w:type="dxa"/>
            <w:tcBorders>
              <w:top w:val="nil"/>
              <w:left w:val="nil"/>
              <w:bottom w:val="single" w:color="auto" w:sz="4" w:space="0"/>
              <w:right w:val="single" w:color="auto" w:sz="4" w:space="0"/>
            </w:tcBorders>
            <w:shd w:val="clear" w:color="auto" w:fill="auto"/>
            <w:vAlign w:val="center"/>
          </w:tcPr>
          <w:p>
            <w:pPr>
              <w:spacing w:line="360" w:lineRule="auto"/>
              <w:rPr>
                <w:rFonts w:ascii="Arial" w:cs="Arial" w:hAnsiTheme="minorEastAsia" w:eastAsiaTheme="minorEastAsia"/>
                <w:color w:val="000000"/>
                <w:sz w:val="24"/>
                <w:szCs w:val="24"/>
              </w:rPr>
            </w:pPr>
            <w:r>
              <w:rPr>
                <w:rFonts w:hint="eastAsia" w:ascii="Arial" w:hAnsi="宋体" w:eastAsia="宋体" w:cs="Arial"/>
                <w:sz w:val="24"/>
                <w:szCs w:val="24"/>
              </w:rPr>
              <w:t>财务状况报告等相关材料：提供201</w:t>
            </w:r>
            <w:r>
              <w:rPr>
                <w:rFonts w:hint="eastAsia" w:ascii="Arial" w:hAnsi="宋体" w:eastAsia="宋体" w:cs="Arial"/>
                <w:sz w:val="24"/>
                <w:szCs w:val="24"/>
                <w:lang w:val="en-US" w:eastAsia="zh-CN"/>
              </w:rPr>
              <w:t>8</w:t>
            </w:r>
            <w:r>
              <w:rPr>
                <w:rFonts w:hint="eastAsia" w:ascii="Arial" w:hAnsi="宋体" w:eastAsia="宋体" w:cs="Arial"/>
                <w:sz w:val="24"/>
                <w:szCs w:val="24"/>
              </w:rPr>
              <w:t>年度</w:t>
            </w:r>
            <w:r>
              <w:rPr>
                <w:rFonts w:hint="eastAsia" w:ascii="Arial" w:hAnsi="宋体" w:eastAsia="宋体" w:cs="Arial"/>
                <w:sz w:val="24"/>
                <w:szCs w:val="24"/>
                <w:lang w:eastAsia="zh-CN"/>
              </w:rPr>
              <w:t>或</w:t>
            </w:r>
            <w:r>
              <w:rPr>
                <w:rFonts w:hint="eastAsia" w:ascii="Arial" w:hAnsi="宋体" w:eastAsia="宋体" w:cs="Arial"/>
                <w:sz w:val="24"/>
                <w:szCs w:val="24"/>
                <w:lang w:val="en-US" w:eastAsia="zh-CN"/>
              </w:rPr>
              <w:t>2019年度</w:t>
            </w:r>
            <w:r>
              <w:rPr>
                <w:rFonts w:hint="eastAsia" w:ascii="Arial" w:hAnsi="宋体" w:eastAsia="宋体" w:cs="Arial"/>
                <w:sz w:val="24"/>
                <w:szCs w:val="24"/>
              </w:rPr>
              <w:t>经第三方会计师事务所审计的企业财务报告扫描件或近三个月银行出具的资信证明复印件并加盖公章</w:t>
            </w:r>
            <w:r>
              <w:rPr>
                <w:rFonts w:ascii="Arial" w:hAnsi="宋体" w:eastAsia="宋体" w:cs="Arial"/>
                <w:sz w:val="24"/>
                <w:szCs w:val="24"/>
              </w:rPr>
              <w:t>。注：</w:t>
            </w:r>
            <w:r>
              <w:rPr>
                <w:rFonts w:hint="eastAsia" w:ascii="Arial" w:hAnsi="宋体" w:eastAsia="宋体" w:cs="Arial"/>
                <w:sz w:val="24"/>
                <w:szCs w:val="24"/>
                <w:lang w:eastAsia="zh-CN"/>
              </w:rPr>
              <w:t>上面</w:t>
            </w:r>
            <w:r>
              <w:rPr>
                <w:rFonts w:ascii="Arial" w:hAnsi="宋体" w:eastAsia="宋体" w:cs="Arial"/>
                <w:sz w:val="24"/>
                <w:szCs w:val="24"/>
              </w:rPr>
              <w:t>两项提供任意一项均可；</w:t>
            </w:r>
          </w:p>
        </w:tc>
      </w:tr>
      <w:tr>
        <w:tblPrEx>
          <w:tblCellMar>
            <w:top w:w="0" w:type="dxa"/>
            <w:left w:w="108" w:type="dxa"/>
            <w:bottom w:w="0" w:type="dxa"/>
            <w:right w:w="108" w:type="dxa"/>
          </w:tblCellMar>
        </w:tblPrEx>
        <w:trPr>
          <w:trHeight w:val="600" w:hRule="atLeast"/>
        </w:trPr>
        <w:tc>
          <w:tcPr>
            <w:tcW w:w="2140" w:type="dxa"/>
            <w:tcBorders>
              <w:top w:val="nil"/>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依法缴纳税收证明</w:t>
            </w:r>
          </w:p>
        </w:tc>
        <w:tc>
          <w:tcPr>
            <w:tcW w:w="6243" w:type="dxa"/>
            <w:tcBorders>
              <w:top w:val="nil"/>
              <w:left w:val="nil"/>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hAnsi="宋体" w:eastAsia="宋体" w:cs="Arial"/>
                <w:sz w:val="24"/>
                <w:szCs w:val="24"/>
              </w:rPr>
              <w:t>投标人具有依法缴纳税收和社会保障资金的良好记录，</w:t>
            </w:r>
            <w:r>
              <w:rPr>
                <w:rFonts w:hint="eastAsia" w:asciiTheme="minorEastAsia" w:hAnsiTheme="minorEastAsia" w:eastAsiaTheme="minorEastAsia" w:cstheme="minorEastAsia"/>
                <w:sz w:val="24"/>
                <w:szCs w:val="24"/>
              </w:rPr>
              <w:t>提供20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eastAsia="zh-CN"/>
              </w:rPr>
              <w:t>任意</w:t>
            </w:r>
            <w:r>
              <w:rPr>
                <w:rFonts w:hint="eastAsia" w:asciiTheme="minorEastAsia" w:hAnsiTheme="minorEastAsia" w:eastAsiaTheme="minorEastAsia" w:cstheme="minorEastAsia"/>
                <w:sz w:val="24"/>
                <w:szCs w:val="24"/>
              </w:rPr>
              <w:t>1个月的依法缴纳税收的相关证明材料复印件并加盖公章</w:t>
            </w:r>
          </w:p>
        </w:tc>
      </w:tr>
      <w:tr>
        <w:tblPrEx>
          <w:tblCellMar>
            <w:top w:w="0" w:type="dxa"/>
            <w:left w:w="108" w:type="dxa"/>
            <w:bottom w:w="0" w:type="dxa"/>
            <w:right w:w="108" w:type="dxa"/>
          </w:tblCellMar>
        </w:tblPrEx>
        <w:trPr>
          <w:trHeight w:val="585" w:hRule="atLeast"/>
        </w:trPr>
        <w:tc>
          <w:tcPr>
            <w:tcW w:w="2140" w:type="dxa"/>
            <w:tcBorders>
              <w:top w:val="nil"/>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依法缴纳社会保障资金证明</w:t>
            </w:r>
          </w:p>
        </w:tc>
        <w:tc>
          <w:tcPr>
            <w:tcW w:w="6243" w:type="dxa"/>
            <w:tcBorders>
              <w:top w:val="nil"/>
              <w:left w:val="nil"/>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hAnsi="宋体" w:eastAsia="宋体" w:cs="Arial"/>
                <w:sz w:val="24"/>
                <w:szCs w:val="24"/>
              </w:rPr>
              <w:t>投标人具有依法缴纳税收和社会保障资金的良好记录，</w:t>
            </w:r>
            <w:r>
              <w:rPr>
                <w:rFonts w:hint="eastAsia" w:asciiTheme="minorEastAsia" w:hAnsiTheme="minorEastAsia" w:eastAsiaTheme="minorEastAsia" w:cstheme="minorEastAsia"/>
                <w:sz w:val="24"/>
                <w:szCs w:val="24"/>
              </w:rPr>
              <w:t>提供20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eastAsia="zh-CN"/>
              </w:rPr>
              <w:t>任意</w:t>
            </w:r>
            <w:r>
              <w:rPr>
                <w:rFonts w:hint="eastAsia" w:asciiTheme="minorEastAsia" w:hAnsiTheme="minorEastAsia" w:eastAsiaTheme="minorEastAsia" w:cstheme="minorEastAsia"/>
                <w:sz w:val="24"/>
                <w:szCs w:val="24"/>
              </w:rPr>
              <w:t>1个月的社会保险费的相关证明材料复印件并加盖公章</w:t>
            </w:r>
            <w:r>
              <w:rPr>
                <w:rFonts w:ascii="Arial" w:cs="Arial" w:hAnsiTheme="minorEastAsia" w:eastAsiaTheme="minorEastAsia"/>
                <w:color w:val="000000"/>
                <w:sz w:val="24"/>
                <w:szCs w:val="24"/>
              </w:rPr>
              <w:t>；</w:t>
            </w:r>
          </w:p>
        </w:tc>
      </w:tr>
      <w:tr>
        <w:tblPrEx>
          <w:tblCellMar>
            <w:top w:w="0" w:type="dxa"/>
            <w:left w:w="108" w:type="dxa"/>
            <w:bottom w:w="0" w:type="dxa"/>
            <w:right w:w="108" w:type="dxa"/>
          </w:tblCellMar>
        </w:tblPrEx>
        <w:trPr>
          <w:trHeight w:val="1170" w:hRule="atLeast"/>
        </w:trPr>
        <w:tc>
          <w:tcPr>
            <w:tcW w:w="2140" w:type="dxa"/>
            <w:tcBorders>
              <w:top w:val="nil"/>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没有重大违法记录的书面声明</w:t>
            </w:r>
          </w:p>
        </w:tc>
        <w:tc>
          <w:tcPr>
            <w:tcW w:w="6243" w:type="dxa"/>
            <w:tcBorders>
              <w:top w:val="nil"/>
              <w:left w:val="nil"/>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hAnsi="宋体" w:eastAsia="宋体" w:cs="Arial"/>
                <w:sz w:val="24"/>
                <w:szCs w:val="24"/>
              </w:rPr>
              <w:t>投标人参加政府采购活动前三年内，在经营活动中没有重大违法记录的书面声明原件加盖公章；(截至开标日成立不足3年的供应商可提供自成立以来无重大违法记录的书面声明)</w:t>
            </w:r>
          </w:p>
        </w:tc>
      </w:tr>
      <w:tr>
        <w:tblPrEx>
          <w:tblCellMar>
            <w:top w:w="0" w:type="dxa"/>
            <w:left w:w="108" w:type="dxa"/>
            <w:bottom w:w="0" w:type="dxa"/>
            <w:right w:w="108" w:type="dxa"/>
          </w:tblCellMar>
        </w:tblPrEx>
        <w:trPr>
          <w:trHeight w:val="285" w:hRule="atLeast"/>
        </w:trPr>
        <w:tc>
          <w:tcPr>
            <w:tcW w:w="2140" w:type="dxa"/>
            <w:tcBorders>
              <w:top w:val="single" w:color="auto" w:sz="4" w:space="0"/>
              <w:left w:val="single" w:color="auto" w:sz="4" w:space="0"/>
              <w:bottom w:val="single" w:color="auto" w:sz="4" w:space="0"/>
              <w:right w:val="single" w:color="auto" w:sz="4" w:space="0"/>
            </w:tcBorders>
            <w:shd w:val="clear" w:color="auto" w:fill="auto"/>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不接受联合体投标</w:t>
            </w:r>
          </w:p>
        </w:tc>
        <w:tc>
          <w:tcPr>
            <w:tcW w:w="62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本项目不接受联合体投标</w:t>
            </w:r>
            <w:r>
              <w:rPr>
                <w:rFonts w:hint="eastAsia" w:ascii="Arial" w:cs="Arial" w:hAnsiTheme="minorEastAsia" w:eastAsiaTheme="minorEastAsia"/>
                <w:color w:val="000000"/>
                <w:sz w:val="24"/>
                <w:szCs w:val="24"/>
                <w:lang w:eastAsia="zh-CN"/>
              </w:rPr>
              <w:t>，提供非联合体声明函</w:t>
            </w:r>
            <w:r>
              <w:rPr>
                <w:rFonts w:ascii="Arial" w:cs="Arial" w:hAnsiTheme="minorEastAsia" w:eastAsiaTheme="minorEastAsia"/>
                <w:color w:val="000000"/>
                <w:sz w:val="24"/>
                <w:szCs w:val="24"/>
              </w:rPr>
              <w:t>。</w:t>
            </w:r>
          </w:p>
        </w:tc>
      </w:tr>
      <w:tr>
        <w:tblPrEx>
          <w:tblCellMar>
            <w:top w:w="0" w:type="dxa"/>
            <w:left w:w="108" w:type="dxa"/>
            <w:bottom w:w="0" w:type="dxa"/>
            <w:right w:w="108" w:type="dxa"/>
          </w:tblCellMar>
        </w:tblPrEx>
        <w:trPr>
          <w:trHeight w:val="285" w:hRule="atLeast"/>
        </w:trPr>
        <w:tc>
          <w:tcPr>
            <w:tcW w:w="2140" w:type="dxa"/>
            <w:tcBorders>
              <w:top w:val="single" w:color="auto" w:sz="4" w:space="0"/>
              <w:left w:val="single" w:color="auto" w:sz="4" w:space="0"/>
              <w:bottom w:val="single" w:color="auto" w:sz="4" w:space="0"/>
              <w:right w:val="single" w:color="auto" w:sz="4" w:space="0"/>
            </w:tcBorders>
            <w:shd w:val="clear" w:color="auto" w:fill="auto"/>
          </w:tcPr>
          <w:p>
            <w:pPr>
              <w:spacing w:line="420" w:lineRule="exact"/>
              <w:jc w:val="center"/>
              <w:rPr>
                <w:rFonts w:hint="eastAsia" w:ascii="Arial" w:cs="Arial" w:hAnsiTheme="minorEastAsia" w:eastAsiaTheme="minorEastAsia"/>
                <w:color w:val="000000"/>
                <w:sz w:val="24"/>
                <w:szCs w:val="24"/>
                <w:lang w:eastAsia="zh-CN"/>
              </w:rPr>
            </w:pPr>
            <w:r>
              <w:rPr>
                <w:rFonts w:hint="eastAsia" w:ascii="Arial" w:cs="Arial" w:hAnsiTheme="minorEastAsia" w:eastAsiaTheme="minorEastAsia"/>
                <w:color w:val="000000"/>
                <w:sz w:val="24"/>
                <w:szCs w:val="24"/>
                <w:lang w:eastAsia="zh-CN"/>
              </w:rPr>
              <w:t>小微企业</w:t>
            </w:r>
          </w:p>
        </w:tc>
        <w:tc>
          <w:tcPr>
            <w:tcW w:w="62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hint="eastAsia" w:ascii="宋体" w:hAnsi="宋体" w:eastAsia="宋体" w:cs="宋体"/>
                <w:sz w:val="24"/>
                <w:szCs w:val="24"/>
                <w:lang w:eastAsia="zh-CN"/>
              </w:rPr>
              <w:t>本项目只针对小微企业投标，提供小微企业声明函</w:t>
            </w:r>
          </w:p>
        </w:tc>
      </w:tr>
    </w:tbl>
    <w:p>
      <w:pPr>
        <w:pStyle w:val="23"/>
        <w:spacing w:line="360" w:lineRule="auto"/>
        <w:jc w:val="both"/>
        <w:rPr>
          <w:rFonts w:ascii="宋体" w:hAnsi="宋体" w:eastAsia="宋体" w:cs="宋体"/>
          <w:color w:val="auto"/>
        </w:rPr>
      </w:pPr>
    </w:p>
    <w:p>
      <w:pPr>
        <w:pStyle w:val="23"/>
        <w:spacing w:line="360" w:lineRule="auto"/>
        <w:jc w:val="both"/>
        <w:rPr>
          <w:rFonts w:ascii="宋体" w:hAnsi="宋体" w:eastAsia="宋体" w:cs="宋体"/>
          <w:color w:val="auto"/>
        </w:rPr>
      </w:pPr>
      <w:r>
        <w:rPr>
          <w:rFonts w:hint="eastAsia" w:ascii="宋体" w:hAnsi="宋体" w:eastAsia="宋体" w:cs="宋体"/>
          <w:color w:val="auto"/>
        </w:rPr>
        <w:t>（1）上述列表内资格、资信审查内容</w:t>
      </w:r>
      <w:r>
        <w:rPr>
          <w:rFonts w:hint="eastAsia" w:ascii="宋体" w:hAnsi="宋体" w:eastAsia="宋体" w:cs="宋体"/>
          <w:color w:val="auto"/>
          <w:lang w:eastAsia="zh-CN"/>
        </w:rPr>
        <w:t>须</w:t>
      </w:r>
      <w:r>
        <w:rPr>
          <w:rFonts w:hint="eastAsia" w:ascii="宋体" w:hAnsi="宋体" w:eastAsia="宋体" w:cs="宋体"/>
          <w:color w:val="auto"/>
        </w:rPr>
        <w:t>在投标文件内提供复印件</w:t>
      </w:r>
      <w:r>
        <w:rPr>
          <w:rFonts w:hint="eastAsia" w:ascii="宋体" w:hAnsi="宋体" w:eastAsia="宋体" w:cs="宋体"/>
          <w:color w:val="auto"/>
          <w:lang w:eastAsia="zh-CN"/>
        </w:rPr>
        <w:t>加盖公章，并对上诉内容真实性负责</w:t>
      </w:r>
      <w:r>
        <w:rPr>
          <w:rFonts w:hint="eastAsia" w:ascii="宋体" w:hAnsi="宋体" w:eastAsia="宋体" w:cs="宋体"/>
          <w:color w:val="auto"/>
        </w:rPr>
        <w:t>。</w:t>
      </w:r>
    </w:p>
    <w:p>
      <w:pPr>
        <w:pStyle w:val="23"/>
        <w:spacing w:line="360" w:lineRule="auto"/>
        <w:jc w:val="both"/>
        <w:rPr>
          <w:rFonts w:ascii="宋体" w:hAnsi="宋体" w:eastAsia="宋体" w:cs="宋体"/>
          <w:color w:val="auto"/>
        </w:rPr>
      </w:pPr>
      <w:r>
        <w:rPr>
          <w:rFonts w:hint="eastAsia" w:ascii="宋体" w:hAnsi="宋体" w:eastAsia="宋体" w:cs="宋体"/>
          <w:color w:val="auto"/>
        </w:rPr>
        <w:t>第二步：磋商小组对投标文件的有效性、完整性和响应程度进行审查。审查时，可以要求投标人对投标文件中含义不明确、同类问题表述不一致或者有明显文字和计算错误的内容等做出必要的澄清、说明或者更正。投标人的澄清、说明或者更正不得超出投标文件的范围或者改变响应文件的实质性内容。</w:t>
      </w:r>
    </w:p>
    <w:p>
      <w:pPr>
        <w:pStyle w:val="23"/>
        <w:spacing w:line="360" w:lineRule="auto"/>
        <w:jc w:val="both"/>
        <w:rPr>
          <w:rFonts w:ascii="宋体" w:hAnsi="宋体" w:eastAsia="宋体" w:cs="宋体"/>
          <w:color w:val="auto"/>
        </w:rPr>
      </w:pPr>
      <w:r>
        <w:rPr>
          <w:rFonts w:hint="eastAsia" w:ascii="宋体" w:hAnsi="宋体" w:eastAsia="宋体" w:cs="宋体"/>
          <w:color w:val="auto"/>
        </w:rPr>
        <w:t>磋商小组要求投标人澄清、说明或者更正投标文件应当以书面形式做出。投标人的澄清、说明或者更正的文件应当由法定代表人或其授权代表签字或者加盖公章。由授权代表签字的，应当附法定代表人授权书。投标人为自然人的，应当由本人签字并附身份证明。</w:t>
      </w:r>
    </w:p>
    <w:p>
      <w:pPr>
        <w:pStyle w:val="23"/>
        <w:spacing w:line="360" w:lineRule="auto"/>
        <w:jc w:val="both"/>
        <w:rPr>
          <w:rFonts w:ascii="宋体" w:hAnsi="宋体" w:eastAsia="宋体" w:cs="宋体"/>
          <w:color w:val="auto"/>
        </w:rPr>
      </w:pPr>
      <w:r>
        <w:rPr>
          <w:rFonts w:hint="eastAsia" w:ascii="宋体" w:hAnsi="宋体" w:eastAsia="宋体" w:cs="宋体"/>
          <w:color w:val="auto"/>
        </w:rPr>
        <w:t>投标文件内容及所附证明材料需内容完整并清晰可辨，所附证明材料不得出现不完整或字迹、印章模糊的情况，否则按无效页处理。</w:t>
      </w:r>
    </w:p>
    <w:p>
      <w:pPr>
        <w:pStyle w:val="23"/>
        <w:spacing w:line="360" w:lineRule="auto"/>
        <w:jc w:val="both"/>
        <w:rPr>
          <w:rFonts w:ascii="宋体" w:hAnsi="宋体" w:eastAsia="宋体" w:cs="宋体"/>
          <w:color w:val="auto"/>
        </w:rPr>
      </w:pPr>
      <w:r>
        <w:rPr>
          <w:rFonts w:hint="eastAsia" w:ascii="宋体" w:hAnsi="宋体" w:eastAsia="宋体" w:cs="宋体"/>
          <w:color w:val="auto"/>
        </w:rPr>
        <w:t>第三步：磋商小组所有成员集中与单一投标人分别进行磋商。在磋商过程中，磋商小组可以根据磋商文件和磋商情况实质性变动采购需求中的技术、服务要求以及合同草案条款，但不得变动磋商文件中的其他内容。实质性变动的内容，须经采购人代表确认。</w:t>
      </w:r>
    </w:p>
    <w:p>
      <w:pPr>
        <w:pStyle w:val="23"/>
        <w:spacing w:line="360" w:lineRule="auto"/>
        <w:jc w:val="both"/>
        <w:rPr>
          <w:rFonts w:ascii="宋体" w:hAnsi="宋体" w:eastAsia="宋体" w:cs="宋体"/>
          <w:color w:val="auto"/>
        </w:rPr>
      </w:pPr>
      <w:r>
        <w:rPr>
          <w:rFonts w:hint="eastAsia" w:ascii="宋体" w:hAnsi="宋体" w:eastAsia="宋体" w:cs="宋体"/>
          <w:color w:val="auto"/>
        </w:rPr>
        <w:t>对磋商文件做出的实质性变动是磋商文件的有效组成部分，磋商小组应当及时以书面形式同时通知所有参加磋商的投标人。</w:t>
      </w:r>
    </w:p>
    <w:p>
      <w:pPr>
        <w:pStyle w:val="23"/>
        <w:spacing w:line="360" w:lineRule="auto"/>
        <w:jc w:val="both"/>
        <w:rPr>
          <w:rFonts w:ascii="宋体" w:hAnsi="宋体" w:eastAsia="宋体" w:cs="宋体"/>
          <w:color w:val="auto"/>
        </w:rPr>
      </w:pPr>
      <w:r>
        <w:rPr>
          <w:rFonts w:hint="eastAsia" w:ascii="宋体" w:hAnsi="宋体" w:eastAsia="宋体" w:cs="宋体"/>
          <w:color w:val="auto"/>
        </w:rPr>
        <w:t>投标人应当按照磋商文件的变动情况和磋商小组的要求重新提交响应文件，并由其法定代表人或授权代表签字或者加盖公章。由授权代表签字的，应当附法定代表人授权书。投标人为自然人的，应当由本人签字并附身份证明。</w:t>
      </w:r>
    </w:p>
    <w:p>
      <w:pPr>
        <w:pStyle w:val="23"/>
        <w:spacing w:line="360" w:lineRule="auto"/>
        <w:jc w:val="both"/>
        <w:rPr>
          <w:rFonts w:ascii="宋体" w:hAnsi="宋体" w:eastAsia="宋体" w:cs="宋体"/>
          <w:color w:val="auto"/>
        </w:rPr>
      </w:pPr>
      <w:r>
        <w:rPr>
          <w:rFonts w:hint="eastAsia" w:ascii="宋体" w:hAnsi="宋体" w:eastAsia="宋体" w:cs="宋体"/>
          <w:color w:val="auto"/>
        </w:rPr>
        <w:t>未实质性响应磋商文件的响应文件按无效响应处理，磋商小组应当告知提交响应文件的投标人。</w:t>
      </w:r>
    </w:p>
    <w:p>
      <w:pPr>
        <w:pStyle w:val="23"/>
        <w:spacing w:line="360" w:lineRule="auto"/>
        <w:jc w:val="both"/>
        <w:rPr>
          <w:rFonts w:ascii="宋体" w:hAnsi="宋体" w:eastAsia="宋体" w:cs="宋体"/>
          <w:color w:val="auto"/>
        </w:rPr>
      </w:pPr>
      <w:r>
        <w:rPr>
          <w:rFonts w:hint="eastAsia" w:ascii="宋体" w:hAnsi="宋体" w:eastAsia="宋体" w:cs="宋体"/>
          <w:color w:val="auto"/>
        </w:rPr>
        <w:t>第四步：经磋商确定实质性响应的投标人后，磋商小组应当要求所有实质性响应的投标人在规定时间内提交最后报价。</w:t>
      </w:r>
    </w:p>
    <w:p>
      <w:pPr>
        <w:pStyle w:val="23"/>
        <w:spacing w:line="360" w:lineRule="auto"/>
        <w:jc w:val="both"/>
        <w:rPr>
          <w:rFonts w:hint="eastAsia" w:ascii="宋体" w:hAnsi="宋体" w:eastAsia="宋体" w:cs="宋体"/>
          <w:color w:val="auto"/>
          <w:highlight w:val="yellow"/>
          <w:lang w:eastAsia="zh-CN"/>
        </w:rPr>
      </w:pPr>
      <w:r>
        <w:rPr>
          <w:rFonts w:hint="eastAsia" w:ascii="宋体" w:hAnsi="宋体" w:eastAsia="宋体" w:cs="宋体"/>
          <w:color w:val="auto"/>
        </w:rPr>
        <w:t>第五步：经磋商确定最终采购需求和提交最后报价的投标人后，由磋商小组采用综合评分法对提交最后报价的投标人的响应文件和最后报价进行综合评分。</w:t>
      </w:r>
      <w:r>
        <w:rPr>
          <w:rFonts w:hint="eastAsia" w:ascii="宋体" w:hAnsi="宋体" w:eastAsia="宋体" w:cs="宋体"/>
          <w:color w:val="auto"/>
          <w:highlight w:val="yellow"/>
          <w:lang w:eastAsia="zh-CN"/>
        </w:rPr>
        <w:t>（疫情期间，第二阶段提交的即为最终报价）</w:t>
      </w:r>
    </w:p>
    <w:p>
      <w:pPr>
        <w:pStyle w:val="23"/>
        <w:spacing w:line="360" w:lineRule="auto"/>
        <w:jc w:val="both"/>
        <w:rPr>
          <w:rFonts w:ascii="宋体" w:hAnsi="宋体" w:eastAsia="宋体" w:cs="宋体"/>
          <w:color w:val="auto"/>
        </w:rPr>
      </w:pPr>
      <w:r>
        <w:rPr>
          <w:rFonts w:hint="eastAsia" w:ascii="宋体" w:hAnsi="宋体" w:eastAsia="宋体" w:cs="宋体"/>
          <w:color w:val="auto"/>
        </w:rPr>
        <w:t>第六步：磋商小组应当根据综合评分情况，按照评审得分由高到低顺序推荐成交候选投标人，并编写评审报告。评审报告应当由磋商小组全体人员签字认可。磋商小组成员对评审报告有异议的，磋商小组按照少数服从多数的原则推荐成交候选投标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23"/>
        <w:spacing w:line="360" w:lineRule="auto"/>
        <w:jc w:val="both"/>
        <w:outlineLvl w:val="1"/>
        <w:rPr>
          <w:rFonts w:ascii="宋体" w:hAnsi="宋体" w:eastAsia="宋体" w:cs="宋体"/>
          <w:b/>
          <w:bCs/>
          <w:color w:val="auto"/>
          <w:highlight w:val="none"/>
        </w:rPr>
      </w:pPr>
      <w:r>
        <w:rPr>
          <w:rFonts w:hint="eastAsia" w:ascii="宋体" w:hAnsi="宋体" w:eastAsia="宋体" w:cs="宋体"/>
          <w:b/>
          <w:bCs/>
          <w:color w:val="auto"/>
          <w:highlight w:val="none"/>
        </w:rPr>
        <w:t>七、评审方法及标准</w:t>
      </w:r>
    </w:p>
    <w:p>
      <w:pPr>
        <w:pStyle w:val="23"/>
        <w:spacing w:line="360" w:lineRule="auto"/>
        <w:jc w:val="both"/>
        <w:rPr>
          <w:rFonts w:ascii="宋体" w:hAnsi="宋体" w:eastAsia="宋体" w:cs="宋体"/>
          <w:color w:val="auto"/>
        </w:rPr>
      </w:pPr>
      <w:r>
        <w:rPr>
          <w:rFonts w:hint="eastAsia" w:ascii="宋体" w:hAnsi="宋体" w:eastAsia="宋体" w:cs="宋体"/>
          <w:color w:val="auto"/>
        </w:rPr>
        <w:t>（一）采用“综合评分法”的评审方法。评审采用百分制，磋商小组各成员分别独立对实质上响应磋商文件的投标人进行逐项评价打分，对磋商小组各成员每一因素的打分汇总后取平均分，该平均分为投标人的得分。</w:t>
      </w:r>
    </w:p>
    <w:p>
      <w:pPr>
        <w:pStyle w:val="23"/>
        <w:spacing w:line="360" w:lineRule="auto"/>
        <w:jc w:val="both"/>
        <w:rPr>
          <w:rFonts w:ascii="宋体" w:hAnsi="宋体" w:eastAsia="宋体" w:cs="宋体"/>
          <w:color w:val="auto"/>
        </w:rPr>
      </w:pPr>
      <w:r>
        <w:rPr>
          <w:rFonts w:hint="eastAsia" w:ascii="宋体" w:hAnsi="宋体" w:eastAsia="宋体" w:cs="宋体"/>
          <w:color w:val="auto"/>
        </w:rPr>
        <w:t>（二）磋商文件内容违反国家有关强制性规定的，磋商小组应当停止评审并向采购人或者采购代理机构说明情况。</w:t>
      </w:r>
    </w:p>
    <w:p>
      <w:pPr>
        <w:pStyle w:val="23"/>
        <w:spacing w:line="360" w:lineRule="auto"/>
        <w:jc w:val="both"/>
        <w:rPr>
          <w:rFonts w:ascii="宋体" w:hAnsi="宋体" w:eastAsia="宋体" w:cs="宋体"/>
          <w:color w:val="auto"/>
        </w:rPr>
      </w:pPr>
      <w:r>
        <w:rPr>
          <w:rFonts w:hint="eastAsia" w:ascii="宋体" w:hAnsi="宋体" w:eastAsia="宋体" w:cs="宋体"/>
          <w:color w:val="auto"/>
        </w:rPr>
        <w:t>（三）成交候选投标人产生办法：响应文件满足磋商文件全部实质性要求且按评审因素的量化指标评审得分由高到低的顺序确定1名成交候选投标人。评审得分相同的，按照技术因素得分由高到低</w:t>
      </w:r>
    </w:p>
    <w:p>
      <w:pPr>
        <w:pStyle w:val="23"/>
        <w:spacing w:line="360" w:lineRule="auto"/>
        <w:jc w:val="both"/>
        <w:rPr>
          <w:rFonts w:ascii="宋体" w:hAnsi="宋体" w:eastAsia="宋体" w:cs="宋体"/>
          <w:color w:val="auto"/>
        </w:rPr>
      </w:pPr>
      <w:r>
        <w:rPr>
          <w:rFonts w:hint="eastAsia" w:ascii="宋体" w:hAnsi="宋体" w:eastAsia="宋体" w:cs="宋体"/>
          <w:color w:val="auto"/>
        </w:rPr>
        <w:t>（四）评分因素及评标标准</w:t>
      </w:r>
    </w:p>
    <w:tbl>
      <w:tblPr>
        <w:tblStyle w:val="17"/>
        <w:tblW w:w="9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375"/>
        <w:gridCol w:w="688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8" w:type="dxa"/>
            <w:gridSpan w:val="3"/>
            <w:noWrap w:val="0"/>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第一部分 价格（1</w:t>
            </w: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分）</w:t>
            </w:r>
          </w:p>
        </w:tc>
        <w:tc>
          <w:tcPr>
            <w:tcW w:w="1125" w:type="dxa"/>
            <w:noWrap w:val="0"/>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noWrap w:val="0"/>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375" w:type="dxa"/>
            <w:noWrap w:val="0"/>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价格</w:t>
            </w:r>
          </w:p>
        </w:tc>
        <w:tc>
          <w:tcPr>
            <w:tcW w:w="6885" w:type="dxa"/>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kern w:val="0"/>
                <w:sz w:val="24"/>
                <w:szCs w:val="24"/>
              </w:rPr>
              <w:t>投标报价超过采购预算的，投标无效，未超过采购预算的投标报价按以下公式进行计算</w:t>
            </w:r>
            <w:r>
              <w:rPr>
                <w:rFonts w:hint="eastAsia" w:ascii="宋体" w:hAnsi="宋体" w:eastAsia="宋体" w:cs="宋体"/>
                <w:sz w:val="24"/>
                <w:szCs w:val="24"/>
              </w:rPr>
              <w:t>。</w:t>
            </w:r>
          </w:p>
          <w:p>
            <w:pPr>
              <w:widowControl/>
              <w:jc w:val="left"/>
              <w:rPr>
                <w:rFonts w:hint="eastAsia" w:ascii="宋体" w:hAnsi="宋体" w:eastAsia="宋体" w:cs="宋体"/>
                <w:sz w:val="24"/>
                <w:szCs w:val="24"/>
                <w:lang w:eastAsia="zh-CN"/>
              </w:rPr>
            </w:pPr>
            <w:r>
              <w:rPr>
                <w:rFonts w:hint="eastAsia" w:ascii="宋体" w:hAnsi="宋体" w:eastAsia="宋体" w:cs="宋体"/>
                <w:sz w:val="24"/>
                <w:szCs w:val="24"/>
              </w:rPr>
              <w:t>（2）投标报价得分=</w:t>
            </w:r>
            <w:r>
              <w:rPr>
                <w:rFonts w:hint="eastAsia" w:ascii="宋体" w:hAnsi="宋体" w:eastAsia="宋体" w:cs="宋体"/>
                <w:kern w:val="0"/>
                <w:sz w:val="24"/>
                <w:szCs w:val="24"/>
              </w:rPr>
              <w:t>（磋商基准价/投标报价）</w:t>
            </w:r>
            <w:r>
              <w:rPr>
                <w:rFonts w:hint="eastAsia" w:ascii="宋体" w:hAnsi="宋体" w:eastAsia="宋体" w:cs="宋体"/>
                <w:sz w:val="24"/>
                <w:szCs w:val="24"/>
              </w:rPr>
              <w:t>×1</w:t>
            </w:r>
            <w:r>
              <w:rPr>
                <w:rFonts w:hint="eastAsia" w:ascii="宋体" w:hAnsi="宋体" w:eastAsia="宋体" w:cs="宋体"/>
                <w:sz w:val="24"/>
                <w:szCs w:val="24"/>
                <w:lang w:val="en-US" w:eastAsia="zh-CN"/>
              </w:rPr>
              <w:t>0</w:t>
            </w:r>
          </w:p>
          <w:p>
            <w:pPr>
              <w:widowControl/>
              <w:jc w:val="left"/>
              <w:rPr>
                <w:rFonts w:hint="eastAsia" w:ascii="宋体" w:hAnsi="宋体" w:eastAsia="宋体" w:cs="宋体"/>
                <w:kern w:val="0"/>
                <w:sz w:val="24"/>
                <w:szCs w:val="24"/>
              </w:rPr>
            </w:pPr>
            <w:r>
              <w:rPr>
                <w:rFonts w:hint="eastAsia" w:ascii="宋体" w:hAnsi="宋体" w:eastAsia="宋体" w:cs="宋体"/>
                <w:sz w:val="24"/>
                <w:szCs w:val="24"/>
              </w:rPr>
              <w:t>注：</w:t>
            </w:r>
            <w:r>
              <w:rPr>
                <w:rFonts w:hint="eastAsia" w:ascii="宋体" w:hAnsi="宋体" w:eastAsia="宋体" w:cs="宋体"/>
                <w:sz w:val="24"/>
                <w:szCs w:val="24"/>
                <w:lang w:val="zh-TW" w:eastAsia="zh-TW"/>
              </w:rPr>
              <w:t>满足</w:t>
            </w:r>
            <w:r>
              <w:rPr>
                <w:rFonts w:hint="eastAsia" w:ascii="宋体" w:hAnsi="宋体" w:eastAsia="宋体" w:cs="宋体"/>
                <w:sz w:val="24"/>
                <w:szCs w:val="24"/>
                <w:lang w:val="zh-TW"/>
              </w:rPr>
              <w:t>磋商</w:t>
            </w:r>
            <w:r>
              <w:rPr>
                <w:rFonts w:hint="eastAsia" w:ascii="宋体" w:hAnsi="宋体" w:eastAsia="宋体" w:cs="宋体"/>
                <w:sz w:val="24"/>
                <w:szCs w:val="24"/>
                <w:lang w:val="zh-TW" w:eastAsia="zh-TW"/>
              </w:rPr>
              <w:t>文件要求且</w:t>
            </w:r>
            <w:r>
              <w:rPr>
                <w:rFonts w:hint="eastAsia" w:ascii="宋体" w:hAnsi="宋体" w:eastAsia="宋体" w:cs="宋体"/>
                <w:sz w:val="24"/>
                <w:szCs w:val="24"/>
                <w:lang w:val="zh-TW"/>
              </w:rPr>
              <w:t>报价</w:t>
            </w:r>
            <w:r>
              <w:rPr>
                <w:rFonts w:hint="eastAsia" w:ascii="宋体" w:hAnsi="宋体" w:eastAsia="宋体" w:cs="宋体"/>
                <w:sz w:val="24"/>
                <w:szCs w:val="24"/>
                <w:lang w:val="zh-TW" w:eastAsia="zh-TW"/>
              </w:rPr>
              <w:t>最低的为</w:t>
            </w:r>
            <w:r>
              <w:rPr>
                <w:rFonts w:hint="eastAsia" w:ascii="宋体" w:hAnsi="宋体" w:eastAsia="宋体" w:cs="宋体"/>
                <w:kern w:val="0"/>
                <w:sz w:val="24"/>
                <w:szCs w:val="24"/>
              </w:rPr>
              <w:t>磋商</w:t>
            </w:r>
            <w:r>
              <w:rPr>
                <w:rFonts w:hint="eastAsia" w:ascii="宋体" w:hAnsi="宋体" w:eastAsia="宋体" w:cs="宋体"/>
                <w:sz w:val="24"/>
                <w:szCs w:val="24"/>
                <w:lang w:val="zh-TW" w:eastAsia="zh-TW"/>
              </w:rPr>
              <w:t>基准价（</w:t>
            </w:r>
            <w:r>
              <w:rPr>
                <w:rFonts w:hint="eastAsia" w:ascii="宋体" w:hAnsi="宋体" w:eastAsia="宋体" w:cs="宋体"/>
                <w:sz w:val="24"/>
                <w:szCs w:val="24"/>
                <w:lang w:val="zh-TW"/>
              </w:rPr>
              <w:t>磋商</w:t>
            </w:r>
            <w:r>
              <w:rPr>
                <w:rFonts w:hint="eastAsia" w:ascii="宋体" w:hAnsi="宋体" w:eastAsia="宋体" w:cs="宋体"/>
                <w:sz w:val="24"/>
                <w:szCs w:val="24"/>
                <w:lang w:val="zh-TW" w:eastAsia="zh-TW"/>
              </w:rPr>
              <w:t>认定低于成本报价的除外）。得分保留小数点后两位，小数点后保留值按四舍五入方式取舍</w:t>
            </w:r>
            <w:r>
              <w:rPr>
                <w:rFonts w:hint="eastAsia" w:ascii="宋体" w:hAnsi="宋体" w:eastAsia="宋体" w:cs="宋体"/>
                <w:sz w:val="24"/>
                <w:szCs w:val="24"/>
              </w:rPr>
              <w:t>。</w:t>
            </w:r>
          </w:p>
        </w:tc>
        <w:tc>
          <w:tcPr>
            <w:tcW w:w="1125"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8" w:type="dxa"/>
            <w:gridSpan w:val="3"/>
            <w:noWrap w:val="0"/>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第二部分 客观分（</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分）</w:t>
            </w:r>
          </w:p>
        </w:tc>
        <w:tc>
          <w:tcPr>
            <w:tcW w:w="1125" w:type="dxa"/>
            <w:noWrap w:val="0"/>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noWrap w:val="0"/>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375" w:type="dxa"/>
            <w:noWrap w:val="0"/>
            <w:vAlign w:val="center"/>
          </w:tcPr>
          <w:p>
            <w:pPr>
              <w:widowControl/>
              <w:snapToGrid w:val="0"/>
              <w:spacing w:line="360" w:lineRule="exact"/>
              <w:jc w:val="center"/>
              <w:rPr>
                <w:rFonts w:hint="eastAsia" w:ascii="宋体" w:hAnsi="宋体" w:eastAsia="宋体" w:cs="宋体"/>
                <w:kern w:val="0"/>
                <w:sz w:val="24"/>
                <w:szCs w:val="24"/>
                <w:lang w:eastAsia="zh-CN"/>
              </w:rPr>
            </w:pPr>
            <w:r>
              <w:rPr>
                <w:rFonts w:hint="eastAsia" w:ascii="宋体" w:hAnsi="宋体" w:eastAsia="宋体" w:cs="宋体"/>
                <w:sz w:val="24"/>
                <w:szCs w:val="24"/>
                <w:lang w:eastAsia="zh-CN"/>
              </w:rPr>
              <w:t>业绩</w:t>
            </w:r>
          </w:p>
        </w:tc>
        <w:tc>
          <w:tcPr>
            <w:tcW w:w="6885" w:type="dxa"/>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 xml:space="preserve"> 投标人自2017年至今已完成的同类型成功案例。每提供一项案例</w:t>
            </w:r>
            <w:r>
              <w:rPr>
                <w:rFonts w:hint="eastAsia" w:ascii="宋体" w:hAnsi="宋体" w:eastAsia="宋体" w:cs="宋体"/>
                <w:sz w:val="24"/>
                <w:szCs w:val="24"/>
                <w:lang w:val="en-US" w:eastAsia="zh-CN"/>
              </w:rPr>
              <w:t>3</w:t>
            </w:r>
            <w:r>
              <w:rPr>
                <w:rFonts w:hint="eastAsia" w:ascii="宋体" w:hAnsi="宋体" w:eastAsia="宋体" w:cs="宋体"/>
                <w:sz w:val="24"/>
                <w:szCs w:val="24"/>
              </w:rPr>
              <w:t>分，最高得</w:t>
            </w:r>
            <w:r>
              <w:rPr>
                <w:rFonts w:hint="eastAsia" w:ascii="宋体" w:hAnsi="宋体" w:eastAsia="宋体" w:cs="宋体"/>
                <w:sz w:val="24"/>
                <w:szCs w:val="24"/>
                <w:lang w:val="en-US" w:eastAsia="zh-CN"/>
              </w:rPr>
              <w:t>9</w:t>
            </w:r>
            <w:r>
              <w:rPr>
                <w:rFonts w:hint="eastAsia" w:ascii="宋体" w:hAnsi="宋体" w:eastAsia="宋体" w:cs="宋体"/>
                <w:sz w:val="24"/>
                <w:szCs w:val="24"/>
              </w:rPr>
              <w:t>分。按照下述要求提供相关证明文件。</w:t>
            </w:r>
          </w:p>
          <w:p>
            <w:pPr>
              <w:widowControl/>
              <w:jc w:val="left"/>
              <w:rPr>
                <w:rFonts w:hint="eastAsia" w:ascii="宋体" w:hAnsi="宋体" w:eastAsia="宋体" w:cs="宋体"/>
                <w:sz w:val="24"/>
                <w:szCs w:val="24"/>
              </w:rPr>
            </w:pPr>
            <w:r>
              <w:rPr>
                <w:rFonts w:hint="eastAsia" w:ascii="宋体" w:hAnsi="宋体" w:eastAsia="宋体" w:cs="宋体"/>
                <w:sz w:val="24"/>
                <w:szCs w:val="24"/>
              </w:rPr>
              <w:t>（1）合同复印件。包括合同金额、买卖双方名称及盖章、合同清单；</w:t>
            </w:r>
          </w:p>
        </w:tc>
        <w:tc>
          <w:tcPr>
            <w:tcW w:w="1125" w:type="dxa"/>
            <w:noWrap w:val="0"/>
            <w:vAlign w:val="center"/>
          </w:tcPr>
          <w:p>
            <w:pPr>
              <w:snapToGrid w:val="0"/>
              <w:spacing w:line="360" w:lineRule="exact"/>
              <w:jc w:val="center"/>
              <w:rPr>
                <w:rFonts w:hint="eastAsia" w:ascii="宋体" w:hAnsi="宋体" w:eastAsia="宋体" w:cs="宋体"/>
                <w:kern w:val="0"/>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8768" w:type="dxa"/>
            <w:gridSpan w:val="3"/>
            <w:noWrap w:val="0"/>
            <w:vAlign w:val="center"/>
          </w:tcPr>
          <w:p>
            <w:pPr>
              <w:snapToGrid w:val="0"/>
              <w:jc w:val="center"/>
              <w:rPr>
                <w:rFonts w:hint="eastAsia" w:ascii="宋体" w:hAnsi="宋体" w:eastAsia="宋体" w:cs="宋体"/>
                <w:bCs/>
                <w:sz w:val="24"/>
                <w:szCs w:val="24"/>
              </w:rPr>
            </w:pPr>
            <w:r>
              <w:rPr>
                <w:rFonts w:hint="eastAsia" w:ascii="宋体" w:hAnsi="宋体" w:eastAsia="宋体" w:cs="宋体"/>
                <w:kern w:val="0"/>
                <w:sz w:val="24"/>
                <w:szCs w:val="24"/>
              </w:rPr>
              <w:t>第三部分 主观分（</w:t>
            </w:r>
            <w:r>
              <w:rPr>
                <w:rFonts w:hint="eastAsia" w:ascii="宋体" w:hAnsi="宋体" w:eastAsia="宋体" w:cs="宋体"/>
                <w:sz w:val="24"/>
                <w:szCs w:val="24"/>
                <w:lang w:val="en-US" w:eastAsia="zh-CN"/>
              </w:rPr>
              <w:t>81</w:t>
            </w:r>
            <w:r>
              <w:rPr>
                <w:rFonts w:hint="eastAsia" w:ascii="宋体" w:hAnsi="宋体" w:eastAsia="宋体" w:cs="宋体"/>
                <w:kern w:val="0"/>
                <w:sz w:val="24"/>
                <w:szCs w:val="24"/>
              </w:rPr>
              <w:t>分）</w:t>
            </w:r>
          </w:p>
        </w:tc>
        <w:tc>
          <w:tcPr>
            <w:tcW w:w="1125" w:type="dxa"/>
            <w:noWrap w:val="0"/>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08" w:type="dxa"/>
            <w:noWrap w:val="0"/>
            <w:vAlign w:val="center"/>
          </w:tcPr>
          <w:p>
            <w:pPr>
              <w:snapToGrid w:val="0"/>
              <w:spacing w:line="400" w:lineRule="exact"/>
              <w:jc w:val="center"/>
              <w:rPr>
                <w:rFonts w:hint="eastAsia" w:ascii="宋体" w:hAnsi="宋体" w:eastAsia="宋体" w:cs="宋体"/>
                <w:kern w:val="0"/>
                <w:sz w:val="24"/>
                <w:szCs w:val="24"/>
              </w:rPr>
            </w:pPr>
            <w:r>
              <w:rPr>
                <w:rFonts w:hint="eastAsia" w:ascii="宋体" w:hAnsi="宋体" w:eastAsia="宋体" w:cs="宋体"/>
                <w:sz w:val="24"/>
                <w:szCs w:val="24"/>
              </w:rPr>
              <w:t>1</w:t>
            </w:r>
          </w:p>
        </w:tc>
        <w:tc>
          <w:tcPr>
            <w:tcW w:w="1375" w:type="dxa"/>
            <w:noWrap w:val="0"/>
            <w:vAlign w:val="center"/>
          </w:tcPr>
          <w:p>
            <w:pPr>
              <w:snapToGrid w:val="0"/>
              <w:spacing w:line="400" w:lineRule="exact"/>
              <w:jc w:val="center"/>
              <w:rPr>
                <w:rFonts w:hint="eastAsia" w:ascii="宋体" w:hAnsi="宋体" w:eastAsia="宋体" w:cs="宋体"/>
                <w:sz w:val="24"/>
                <w:szCs w:val="24"/>
              </w:rPr>
            </w:pPr>
            <w:r>
              <w:rPr>
                <w:rFonts w:hint="eastAsia" w:ascii="宋体" w:hAnsi="宋体" w:eastAsia="宋体" w:cs="宋体"/>
                <w:sz w:val="24"/>
                <w:szCs w:val="24"/>
              </w:rPr>
              <w:t>整体服务方案评价</w:t>
            </w:r>
          </w:p>
        </w:tc>
        <w:tc>
          <w:tcPr>
            <w:tcW w:w="6885" w:type="dxa"/>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根据磋商项目的具体内容、范围及要求提供详尽的服务方案，</w:t>
            </w:r>
          </w:p>
          <w:p>
            <w:pPr>
              <w:widowControl/>
              <w:jc w:val="left"/>
              <w:rPr>
                <w:rFonts w:hint="eastAsia" w:ascii="宋体" w:hAnsi="宋体" w:eastAsia="宋体" w:cs="宋体"/>
                <w:sz w:val="24"/>
                <w:szCs w:val="24"/>
              </w:rPr>
            </w:pPr>
            <w:r>
              <w:rPr>
                <w:rFonts w:hint="eastAsia" w:ascii="宋体" w:hAnsi="宋体" w:eastAsia="宋体" w:cs="宋体"/>
                <w:sz w:val="24"/>
                <w:szCs w:val="24"/>
              </w:rPr>
              <w:t>方案考虑全面，不漏项，专业性、针对性、系统性强，操作可行：15分；</w:t>
            </w:r>
          </w:p>
          <w:p>
            <w:pPr>
              <w:widowControl/>
              <w:jc w:val="left"/>
              <w:rPr>
                <w:rFonts w:hint="eastAsia" w:ascii="宋体" w:hAnsi="宋体" w:eastAsia="宋体" w:cs="宋体"/>
                <w:sz w:val="24"/>
                <w:szCs w:val="24"/>
              </w:rPr>
            </w:pPr>
            <w:r>
              <w:rPr>
                <w:rFonts w:hint="eastAsia" w:ascii="宋体" w:hAnsi="宋体" w:eastAsia="宋体" w:cs="宋体"/>
                <w:sz w:val="24"/>
                <w:szCs w:val="24"/>
              </w:rPr>
              <w:t>方案考虑较为全面，基本不漏项，专业性、针对性、系统性较强，操作可行性较强：10分；</w:t>
            </w:r>
          </w:p>
          <w:p>
            <w:pPr>
              <w:widowControl/>
              <w:jc w:val="left"/>
              <w:rPr>
                <w:rFonts w:hint="eastAsia" w:ascii="宋体" w:hAnsi="宋体" w:eastAsia="宋体" w:cs="宋体"/>
                <w:sz w:val="24"/>
                <w:szCs w:val="24"/>
              </w:rPr>
            </w:pPr>
            <w:r>
              <w:rPr>
                <w:rFonts w:hint="eastAsia" w:ascii="宋体" w:hAnsi="宋体" w:eastAsia="宋体" w:cs="宋体"/>
                <w:sz w:val="24"/>
                <w:szCs w:val="24"/>
              </w:rPr>
              <w:t>方案考虑不够周全，基本不漏项，有一定的专业性、针对性、系统性，有一定的操作可行性：5分；</w:t>
            </w:r>
          </w:p>
          <w:p>
            <w:pPr>
              <w:widowControl/>
              <w:jc w:val="left"/>
              <w:rPr>
                <w:rFonts w:hint="eastAsia" w:ascii="宋体" w:hAnsi="宋体" w:eastAsia="宋体" w:cs="宋体"/>
                <w:sz w:val="24"/>
                <w:szCs w:val="24"/>
              </w:rPr>
            </w:pPr>
            <w:r>
              <w:rPr>
                <w:rFonts w:hint="eastAsia" w:ascii="宋体" w:hAnsi="宋体" w:eastAsia="宋体" w:cs="宋体"/>
                <w:sz w:val="24"/>
                <w:szCs w:val="24"/>
              </w:rPr>
              <w:t>方案考虑不周全，漏项或无整体服务方案：0分；</w:t>
            </w:r>
          </w:p>
        </w:tc>
        <w:tc>
          <w:tcPr>
            <w:tcW w:w="1125" w:type="dxa"/>
            <w:noWrap w:val="0"/>
            <w:vAlign w:val="center"/>
          </w:tcPr>
          <w:p>
            <w:pPr>
              <w:snapToGrid w:val="0"/>
              <w:spacing w:line="400" w:lineRule="exact"/>
              <w:jc w:val="center"/>
              <w:rPr>
                <w:rFonts w:hint="eastAsia" w:ascii="宋体" w:hAnsi="宋体" w:eastAsia="宋体" w:cs="宋体"/>
                <w:color w:val="FF0000"/>
                <w:kern w:val="0"/>
                <w:sz w:val="24"/>
                <w:szCs w:val="24"/>
              </w:rPr>
            </w:pPr>
            <w:r>
              <w:rPr>
                <w:rFonts w:hint="eastAsia" w:ascii="宋体" w:hAnsi="宋体" w:eastAsia="宋体" w:cs="宋体"/>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08"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1375" w:type="dxa"/>
            <w:noWrap w:val="0"/>
            <w:vAlign w:val="center"/>
          </w:tcPr>
          <w:p>
            <w:pPr>
              <w:autoSpaceDE w:val="0"/>
              <w:autoSpaceDN w:val="0"/>
              <w:adjustRightIn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项目重点难点分析及                           对策措施</w:t>
            </w:r>
          </w:p>
        </w:tc>
        <w:tc>
          <w:tcPr>
            <w:tcW w:w="6885"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充分了解该项目服务需求，对本项目重点、难点分析判断准确，所提出的处理措施有效可行：10分；</w:t>
            </w:r>
          </w:p>
          <w:p>
            <w:pPr>
              <w:spacing w:line="360" w:lineRule="exact"/>
              <w:rPr>
                <w:rFonts w:hint="eastAsia" w:ascii="宋体" w:hAnsi="宋体" w:eastAsia="宋体" w:cs="宋体"/>
                <w:sz w:val="24"/>
                <w:szCs w:val="24"/>
              </w:rPr>
            </w:pPr>
            <w:r>
              <w:rPr>
                <w:rFonts w:hint="eastAsia" w:ascii="宋体" w:hAnsi="宋体" w:eastAsia="宋体" w:cs="宋体"/>
                <w:sz w:val="24"/>
                <w:szCs w:val="24"/>
              </w:rPr>
              <w:t>基本了解该项目服务需求， 对本项目重点、难点分析判断准确性一般，所提出的处理措施基本有效可行：7分；</w:t>
            </w:r>
          </w:p>
          <w:p>
            <w:pPr>
              <w:spacing w:line="360" w:lineRule="exact"/>
              <w:rPr>
                <w:rFonts w:hint="eastAsia" w:ascii="宋体" w:hAnsi="宋体" w:eastAsia="宋体" w:cs="宋体"/>
                <w:sz w:val="24"/>
                <w:szCs w:val="24"/>
              </w:rPr>
            </w:pPr>
            <w:r>
              <w:rPr>
                <w:rFonts w:hint="eastAsia" w:ascii="宋体" w:hAnsi="宋体" w:eastAsia="宋体" w:cs="宋体"/>
                <w:sz w:val="24"/>
                <w:szCs w:val="24"/>
              </w:rPr>
              <w:t>基本了解该项目服务需求，但对本项目重点、难点分析不清晰，未提出处理措施或所提出的处理措施可行性差：4分；</w:t>
            </w:r>
          </w:p>
          <w:p>
            <w:pPr>
              <w:spacing w:line="360" w:lineRule="exact"/>
              <w:rPr>
                <w:rFonts w:hint="eastAsia" w:ascii="宋体" w:hAnsi="宋体" w:eastAsia="宋体" w:cs="宋体"/>
                <w:sz w:val="24"/>
                <w:szCs w:val="24"/>
              </w:rPr>
            </w:pPr>
            <w:r>
              <w:rPr>
                <w:rFonts w:hint="eastAsia" w:ascii="宋体" w:hAnsi="宋体" w:eastAsia="宋体" w:cs="宋体"/>
                <w:sz w:val="24"/>
                <w:szCs w:val="24"/>
              </w:rPr>
              <w:t>未提供项目重点难点分析及对策措施：0分。</w:t>
            </w:r>
          </w:p>
        </w:tc>
        <w:tc>
          <w:tcPr>
            <w:tcW w:w="1125"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508" w:type="dxa"/>
            <w:noWrap w:val="0"/>
            <w:vAlign w:val="center"/>
          </w:tcPr>
          <w:p>
            <w:pPr>
              <w:snapToGrid w:val="0"/>
              <w:spacing w:line="400" w:lineRule="exact"/>
              <w:jc w:val="center"/>
              <w:rPr>
                <w:rFonts w:hint="eastAsia" w:ascii="宋体" w:hAnsi="宋体" w:eastAsia="宋体" w:cs="宋体"/>
                <w:kern w:val="0"/>
                <w:sz w:val="24"/>
                <w:szCs w:val="24"/>
              </w:rPr>
            </w:pPr>
            <w:r>
              <w:rPr>
                <w:rFonts w:hint="eastAsia" w:ascii="宋体" w:hAnsi="宋体" w:eastAsia="宋体" w:cs="宋体"/>
                <w:sz w:val="24"/>
                <w:szCs w:val="24"/>
              </w:rPr>
              <w:t>3</w:t>
            </w:r>
          </w:p>
        </w:tc>
        <w:tc>
          <w:tcPr>
            <w:tcW w:w="1375" w:type="dxa"/>
            <w:noWrap w:val="0"/>
            <w:vAlign w:val="center"/>
          </w:tcPr>
          <w:p>
            <w:pPr>
              <w:autoSpaceDE w:val="0"/>
              <w:autoSpaceDN w:val="0"/>
              <w:adjustRightInd w:val="0"/>
              <w:spacing w:line="360" w:lineRule="exact"/>
              <w:jc w:val="center"/>
              <w:rPr>
                <w:rFonts w:hint="eastAsia" w:ascii="宋体" w:hAnsi="宋体" w:eastAsia="宋体" w:cs="宋体"/>
                <w:kern w:val="0"/>
                <w:sz w:val="24"/>
                <w:szCs w:val="24"/>
              </w:rPr>
            </w:pPr>
            <w:r>
              <w:rPr>
                <w:rFonts w:hint="eastAsia" w:ascii="宋体" w:hAnsi="宋体" w:eastAsia="宋体" w:cs="宋体"/>
                <w:sz w:val="24"/>
                <w:szCs w:val="24"/>
              </w:rPr>
              <w:t>组织架构及人员职责</w:t>
            </w:r>
          </w:p>
        </w:tc>
        <w:tc>
          <w:tcPr>
            <w:tcW w:w="6885"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组织架构及人员职责设置合理，满足项目实际要求，可操作性强：10分</w:t>
            </w:r>
          </w:p>
          <w:p>
            <w:pPr>
              <w:spacing w:line="360" w:lineRule="exact"/>
              <w:rPr>
                <w:rFonts w:hint="eastAsia" w:ascii="宋体" w:hAnsi="宋体" w:eastAsia="宋体" w:cs="宋体"/>
                <w:sz w:val="24"/>
                <w:szCs w:val="24"/>
              </w:rPr>
            </w:pPr>
            <w:r>
              <w:rPr>
                <w:rFonts w:hint="eastAsia" w:ascii="宋体" w:hAnsi="宋体" w:eastAsia="宋体" w:cs="宋体"/>
                <w:sz w:val="24"/>
                <w:szCs w:val="24"/>
              </w:rPr>
              <w:t>组织架构及人员职责设置较合理，比较满足项目实际要求，可操作性较强：7分；</w:t>
            </w:r>
          </w:p>
          <w:p>
            <w:pPr>
              <w:spacing w:line="360" w:lineRule="exact"/>
              <w:rPr>
                <w:rFonts w:hint="eastAsia" w:ascii="宋体" w:hAnsi="宋体" w:eastAsia="宋体" w:cs="宋体"/>
                <w:sz w:val="24"/>
                <w:szCs w:val="24"/>
              </w:rPr>
            </w:pPr>
            <w:r>
              <w:rPr>
                <w:rFonts w:hint="eastAsia" w:ascii="宋体" w:hAnsi="宋体" w:eastAsia="宋体" w:cs="宋体"/>
                <w:sz w:val="24"/>
                <w:szCs w:val="24"/>
              </w:rPr>
              <w:t>组织架构及人员职责设置一般，针对性不强：4分；</w:t>
            </w:r>
          </w:p>
          <w:p>
            <w:pPr>
              <w:spacing w:line="360" w:lineRule="exact"/>
              <w:rPr>
                <w:rFonts w:hint="eastAsia" w:ascii="宋体" w:hAnsi="宋体" w:eastAsia="宋体" w:cs="宋体"/>
                <w:sz w:val="24"/>
                <w:szCs w:val="24"/>
              </w:rPr>
            </w:pPr>
            <w:r>
              <w:rPr>
                <w:rFonts w:hint="eastAsia" w:ascii="宋体" w:hAnsi="宋体" w:eastAsia="宋体" w:cs="宋体"/>
                <w:sz w:val="24"/>
                <w:szCs w:val="24"/>
              </w:rPr>
              <w:t>未提供组织架构及人员职责设置：0分。</w:t>
            </w:r>
          </w:p>
        </w:tc>
        <w:tc>
          <w:tcPr>
            <w:tcW w:w="1125" w:type="dxa"/>
            <w:noWrap w:val="0"/>
            <w:vAlign w:val="center"/>
          </w:tcPr>
          <w:p>
            <w:pPr>
              <w:snapToGrid w:val="0"/>
              <w:spacing w:line="360" w:lineRule="exact"/>
              <w:jc w:val="center"/>
              <w:rPr>
                <w:rFonts w:hint="eastAsia" w:ascii="宋体" w:hAnsi="宋体" w:eastAsia="宋体" w:cs="宋体"/>
                <w:kern w:val="0"/>
                <w:sz w:val="24"/>
                <w:szCs w:val="24"/>
              </w:rPr>
            </w:pPr>
            <w:r>
              <w:rPr>
                <w:rFonts w:hint="eastAsia" w:ascii="宋体" w:hAnsi="宋体" w:eastAsia="宋体" w:cs="宋体"/>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508" w:type="dxa"/>
            <w:noWrap w:val="0"/>
            <w:vAlign w:val="center"/>
          </w:tcPr>
          <w:p>
            <w:pPr>
              <w:snapToGrid w:val="0"/>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375" w:type="dxa"/>
            <w:noWrap w:val="0"/>
            <w:vAlign w:val="center"/>
          </w:tcPr>
          <w:p>
            <w:pPr>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进度计划及保障方案</w:t>
            </w:r>
          </w:p>
        </w:tc>
        <w:tc>
          <w:tcPr>
            <w:tcW w:w="6885"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提供进度计划表，进度安排清晰合理、完整明确均满足且保障方案支撑项目 按计划完成：</w:t>
            </w:r>
            <w:r>
              <w:rPr>
                <w:rFonts w:hint="eastAsia" w:ascii="宋体" w:hAnsi="宋体" w:eastAsia="宋体" w:cs="宋体"/>
                <w:sz w:val="24"/>
                <w:szCs w:val="24"/>
                <w:lang w:val="en-US" w:eastAsia="zh-CN"/>
              </w:rPr>
              <w:t>10</w:t>
            </w:r>
            <w:r>
              <w:rPr>
                <w:rFonts w:hint="eastAsia" w:ascii="宋体" w:hAnsi="宋体" w:eastAsia="宋体" w:cs="宋体"/>
                <w:sz w:val="24"/>
                <w:szCs w:val="24"/>
              </w:rPr>
              <w:t xml:space="preserve"> 分 </w:t>
            </w:r>
          </w:p>
          <w:p>
            <w:pPr>
              <w:spacing w:line="360" w:lineRule="exact"/>
              <w:rPr>
                <w:rFonts w:hint="eastAsia" w:ascii="宋体" w:hAnsi="宋体" w:eastAsia="宋体" w:cs="宋体"/>
                <w:sz w:val="24"/>
                <w:szCs w:val="24"/>
              </w:rPr>
            </w:pPr>
            <w:r>
              <w:rPr>
                <w:rFonts w:hint="eastAsia" w:ascii="宋体" w:hAnsi="宋体" w:eastAsia="宋体" w:cs="宋体"/>
                <w:sz w:val="24"/>
                <w:szCs w:val="24"/>
              </w:rPr>
              <w:t>提供进度计划表及保障方案，支撑项目按计划完成：</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 分 </w:t>
            </w:r>
          </w:p>
          <w:p>
            <w:pPr>
              <w:spacing w:line="360" w:lineRule="exact"/>
              <w:rPr>
                <w:rFonts w:hint="eastAsia" w:ascii="宋体" w:hAnsi="宋体" w:eastAsia="宋体" w:cs="宋体"/>
                <w:sz w:val="24"/>
                <w:szCs w:val="24"/>
              </w:rPr>
            </w:pPr>
            <w:r>
              <w:rPr>
                <w:rFonts w:hint="eastAsia" w:ascii="宋体" w:hAnsi="宋体" w:eastAsia="宋体" w:cs="宋体"/>
                <w:sz w:val="24"/>
                <w:szCs w:val="24"/>
              </w:rPr>
              <w:t>提供进度计划表或保障方案，支撑项目按计划完成：</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分 </w:t>
            </w:r>
          </w:p>
          <w:p>
            <w:pPr>
              <w:spacing w:line="360" w:lineRule="exact"/>
              <w:rPr>
                <w:rFonts w:hint="eastAsia" w:ascii="宋体" w:hAnsi="宋体" w:eastAsia="宋体" w:cs="宋体"/>
                <w:sz w:val="24"/>
                <w:szCs w:val="24"/>
              </w:rPr>
            </w:pPr>
            <w:r>
              <w:rPr>
                <w:rFonts w:hint="eastAsia" w:ascii="宋体" w:hAnsi="宋体" w:eastAsia="宋体" w:cs="宋体"/>
                <w:sz w:val="24"/>
                <w:szCs w:val="24"/>
              </w:rPr>
              <w:t>未提供或提供与本项目内容无关：0 分</w:t>
            </w:r>
          </w:p>
        </w:tc>
        <w:tc>
          <w:tcPr>
            <w:tcW w:w="1125" w:type="dxa"/>
            <w:noWrap w:val="0"/>
            <w:vAlign w:val="center"/>
          </w:tcPr>
          <w:p>
            <w:pPr>
              <w:snapToGrid w:val="0"/>
              <w:spacing w:line="36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08" w:type="dxa"/>
            <w:noWrap w:val="0"/>
            <w:vAlign w:val="center"/>
          </w:tcPr>
          <w:p>
            <w:pPr>
              <w:widowControl/>
              <w:snapToGrid w:val="0"/>
              <w:jc w:val="center"/>
              <w:rPr>
                <w:rFonts w:hint="eastAsia" w:ascii="宋体" w:hAnsi="宋体" w:eastAsia="宋体" w:cs="宋体"/>
                <w:kern w:val="0"/>
                <w:sz w:val="24"/>
                <w:szCs w:val="24"/>
                <w:lang w:eastAsia="zh-CN"/>
              </w:rPr>
            </w:pPr>
            <w:r>
              <w:rPr>
                <w:rFonts w:hint="eastAsia" w:ascii="宋体" w:hAnsi="宋体" w:eastAsia="宋体" w:cs="宋体"/>
                <w:sz w:val="24"/>
                <w:szCs w:val="24"/>
                <w:lang w:val="en-US" w:eastAsia="zh-CN"/>
              </w:rPr>
              <w:t>5</w:t>
            </w:r>
          </w:p>
        </w:tc>
        <w:tc>
          <w:tcPr>
            <w:tcW w:w="1375" w:type="dxa"/>
            <w:noWrap w:val="0"/>
            <w:vAlign w:val="center"/>
          </w:tcPr>
          <w:p>
            <w:pPr>
              <w:autoSpaceDE w:val="0"/>
              <w:autoSpaceDN w:val="0"/>
              <w:adjustRightInd w:val="0"/>
              <w:spacing w:line="360" w:lineRule="exact"/>
              <w:jc w:val="center"/>
              <w:rPr>
                <w:rFonts w:hint="eastAsia" w:ascii="宋体" w:hAnsi="宋体" w:eastAsia="宋体" w:cs="宋体"/>
                <w:sz w:val="24"/>
                <w:szCs w:val="24"/>
                <w:lang w:val="zh-TW"/>
              </w:rPr>
            </w:pPr>
            <w:r>
              <w:rPr>
                <w:rFonts w:hint="eastAsia" w:ascii="宋体" w:hAnsi="宋体" w:eastAsia="宋体" w:cs="宋体"/>
                <w:sz w:val="24"/>
                <w:szCs w:val="24"/>
              </w:rPr>
              <w:t>在服务过程中，与采购人配合、沟通方案评价</w:t>
            </w:r>
          </w:p>
        </w:tc>
        <w:tc>
          <w:tcPr>
            <w:tcW w:w="6885" w:type="dxa"/>
            <w:noWrap w:val="0"/>
            <w:vAlign w:val="center"/>
          </w:tcPr>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有专人定期与采购人沟通，配合、沟通方案详细、可行性强：</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有专人定期与采购人沟通，配合、沟通方案较详细、可行性一般：</w:t>
            </w:r>
            <w:r>
              <w:rPr>
                <w:rFonts w:hint="eastAsia" w:ascii="宋体" w:hAnsi="宋体" w:eastAsia="宋体" w:cs="宋体"/>
                <w:sz w:val="24"/>
                <w:szCs w:val="24"/>
                <w:lang w:val="en-US" w:eastAsia="zh-CN"/>
              </w:rPr>
              <w:t>7</w:t>
            </w:r>
            <w:r>
              <w:rPr>
                <w:rFonts w:hint="eastAsia" w:ascii="宋体" w:hAnsi="宋体" w:eastAsia="宋体" w:cs="宋体"/>
                <w:sz w:val="24"/>
                <w:szCs w:val="24"/>
              </w:rPr>
              <w:t>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提供了配合、沟通方案，但未指定专人与采购人沟通：</w:t>
            </w:r>
            <w:r>
              <w:rPr>
                <w:rFonts w:hint="eastAsia" w:ascii="宋体" w:hAnsi="宋体" w:eastAsia="宋体" w:cs="宋体"/>
                <w:sz w:val="24"/>
                <w:szCs w:val="24"/>
                <w:lang w:val="en-US" w:eastAsia="zh-CN"/>
              </w:rPr>
              <w:t>3</w:t>
            </w:r>
            <w:r>
              <w:rPr>
                <w:rFonts w:hint="eastAsia" w:ascii="宋体" w:hAnsi="宋体" w:eastAsia="宋体" w:cs="宋体"/>
                <w:sz w:val="24"/>
                <w:szCs w:val="24"/>
              </w:rPr>
              <w:t>分；</w:t>
            </w:r>
          </w:p>
          <w:p>
            <w:pPr>
              <w:spacing w:line="360" w:lineRule="exact"/>
              <w:rPr>
                <w:rFonts w:hint="eastAsia" w:ascii="宋体" w:hAnsi="宋体" w:eastAsia="宋体" w:cs="宋体"/>
                <w:sz w:val="24"/>
                <w:szCs w:val="24"/>
                <w:lang w:val="zh-TW" w:eastAsia="zh-TW"/>
              </w:rPr>
            </w:pPr>
            <w:r>
              <w:rPr>
                <w:rFonts w:hint="eastAsia" w:ascii="宋体" w:hAnsi="宋体" w:eastAsia="宋体" w:cs="宋体"/>
                <w:sz w:val="24"/>
                <w:szCs w:val="24"/>
              </w:rPr>
              <w:t>未提供配合、沟通方案，也未指定专人与采购人沟通：0分。</w:t>
            </w:r>
          </w:p>
        </w:tc>
        <w:tc>
          <w:tcPr>
            <w:tcW w:w="1125"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508" w:type="dxa"/>
            <w:noWrap w:val="0"/>
            <w:vAlign w:val="center"/>
          </w:tcPr>
          <w:p>
            <w:pPr>
              <w:widowControl/>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1375" w:type="dxa"/>
            <w:noWrap w:val="0"/>
            <w:vAlign w:val="center"/>
          </w:tcPr>
          <w:p>
            <w:pPr>
              <w:snapToGrid w:val="0"/>
              <w:spacing w:line="400" w:lineRule="exact"/>
              <w:jc w:val="center"/>
              <w:rPr>
                <w:rFonts w:hint="eastAsia" w:ascii="宋体" w:hAnsi="宋体" w:eastAsia="宋体" w:cs="宋体"/>
                <w:color w:val="000000"/>
                <w:kern w:val="0"/>
                <w:sz w:val="24"/>
                <w:szCs w:val="24"/>
              </w:rPr>
            </w:pPr>
            <w:r>
              <w:rPr>
                <w:rFonts w:hint="eastAsia" w:ascii="宋体" w:hAnsi="宋体" w:eastAsia="宋体" w:cs="宋体"/>
                <w:sz w:val="24"/>
                <w:szCs w:val="24"/>
              </w:rPr>
              <w:t>安全作业保障评价</w:t>
            </w:r>
          </w:p>
        </w:tc>
        <w:tc>
          <w:tcPr>
            <w:tcW w:w="6885" w:type="dxa"/>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各项安全制度、措施、保障科学合理、内容齐全且切实可行：</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p>
            <w:pPr>
              <w:widowControl/>
              <w:jc w:val="left"/>
              <w:rPr>
                <w:rFonts w:hint="eastAsia" w:ascii="宋体" w:hAnsi="宋体" w:eastAsia="宋体" w:cs="宋体"/>
                <w:sz w:val="24"/>
                <w:szCs w:val="24"/>
              </w:rPr>
            </w:pPr>
            <w:r>
              <w:rPr>
                <w:rFonts w:hint="eastAsia" w:ascii="宋体" w:hAnsi="宋体" w:eastAsia="宋体" w:cs="宋体"/>
                <w:sz w:val="24"/>
                <w:szCs w:val="24"/>
              </w:rPr>
              <w:t>各项安全制度、措施、保障较为科学合理、内容较为齐全且切实可行：</w:t>
            </w:r>
            <w:r>
              <w:rPr>
                <w:rFonts w:hint="eastAsia" w:ascii="宋体" w:hAnsi="宋体" w:eastAsia="宋体" w:cs="宋体"/>
                <w:sz w:val="24"/>
                <w:szCs w:val="24"/>
                <w:lang w:val="en-US" w:eastAsia="zh-CN"/>
              </w:rPr>
              <w:t>7</w:t>
            </w:r>
            <w:r>
              <w:rPr>
                <w:rFonts w:hint="eastAsia" w:ascii="宋体" w:hAnsi="宋体" w:eastAsia="宋体" w:cs="宋体"/>
                <w:sz w:val="24"/>
                <w:szCs w:val="24"/>
              </w:rPr>
              <w:t>分</w:t>
            </w:r>
          </w:p>
          <w:p>
            <w:pPr>
              <w:widowControl/>
              <w:jc w:val="left"/>
              <w:rPr>
                <w:rFonts w:hint="eastAsia" w:ascii="宋体" w:hAnsi="宋体" w:eastAsia="宋体" w:cs="宋体"/>
                <w:sz w:val="24"/>
                <w:szCs w:val="24"/>
              </w:rPr>
            </w:pPr>
            <w:r>
              <w:rPr>
                <w:rFonts w:hint="eastAsia" w:ascii="宋体" w:hAnsi="宋体" w:eastAsia="宋体" w:cs="宋体"/>
                <w:sz w:val="24"/>
                <w:szCs w:val="24"/>
              </w:rPr>
              <w:t>各项安全制度、措施、保障较为科学合理、内容较为齐全且基本可行：</w:t>
            </w:r>
            <w:r>
              <w:rPr>
                <w:rFonts w:hint="eastAsia" w:ascii="宋体" w:hAnsi="宋体" w:eastAsia="宋体" w:cs="宋体"/>
                <w:sz w:val="24"/>
                <w:szCs w:val="24"/>
                <w:lang w:val="en-US" w:eastAsia="zh-CN"/>
              </w:rPr>
              <w:t>3</w:t>
            </w:r>
            <w:r>
              <w:rPr>
                <w:rFonts w:hint="eastAsia" w:ascii="宋体" w:hAnsi="宋体" w:eastAsia="宋体" w:cs="宋体"/>
                <w:sz w:val="24"/>
                <w:szCs w:val="24"/>
              </w:rPr>
              <w:t>分</w:t>
            </w:r>
          </w:p>
          <w:p>
            <w:pPr>
              <w:widowControl/>
              <w:jc w:val="left"/>
              <w:rPr>
                <w:rFonts w:hint="eastAsia" w:ascii="宋体" w:hAnsi="宋体" w:eastAsia="宋体" w:cs="宋体"/>
                <w:sz w:val="24"/>
                <w:szCs w:val="24"/>
              </w:rPr>
            </w:pPr>
            <w:r>
              <w:rPr>
                <w:rFonts w:hint="eastAsia" w:ascii="宋体" w:hAnsi="宋体" w:eastAsia="宋体" w:cs="宋体"/>
                <w:sz w:val="24"/>
                <w:szCs w:val="24"/>
              </w:rPr>
              <w:t>其它：0分</w:t>
            </w:r>
          </w:p>
        </w:tc>
        <w:tc>
          <w:tcPr>
            <w:tcW w:w="1125" w:type="dxa"/>
            <w:noWrap w:val="0"/>
            <w:vAlign w:val="center"/>
          </w:tcPr>
          <w:p>
            <w:pPr>
              <w:snapToGrid w:val="0"/>
              <w:spacing w:line="40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508" w:type="dxa"/>
            <w:noWrap w:val="0"/>
            <w:vAlign w:val="center"/>
          </w:tcPr>
          <w:p>
            <w:pPr>
              <w:widowControl/>
              <w:snapToGrid w:val="0"/>
              <w:jc w:val="center"/>
              <w:rPr>
                <w:rFonts w:hint="eastAsia" w:ascii="宋体" w:hAnsi="宋体" w:eastAsia="宋体" w:cs="宋体"/>
                <w:kern w:val="0"/>
                <w:sz w:val="24"/>
                <w:szCs w:val="24"/>
                <w:lang w:eastAsia="zh-CN"/>
              </w:rPr>
            </w:pPr>
            <w:r>
              <w:rPr>
                <w:rFonts w:hint="eastAsia" w:ascii="宋体" w:hAnsi="宋体" w:eastAsia="宋体" w:cs="宋体"/>
                <w:sz w:val="24"/>
                <w:szCs w:val="24"/>
                <w:lang w:val="en-US" w:eastAsia="zh-CN"/>
              </w:rPr>
              <w:t>7</w:t>
            </w:r>
          </w:p>
        </w:tc>
        <w:tc>
          <w:tcPr>
            <w:tcW w:w="1375" w:type="dxa"/>
            <w:noWrap w:val="0"/>
            <w:vAlign w:val="center"/>
          </w:tcPr>
          <w:p>
            <w:pPr>
              <w:snapToGrid w:val="0"/>
              <w:spacing w:line="400" w:lineRule="exact"/>
              <w:jc w:val="center"/>
              <w:rPr>
                <w:rFonts w:hint="eastAsia" w:ascii="宋体" w:hAnsi="宋体" w:eastAsia="宋体" w:cs="宋体"/>
                <w:kern w:val="0"/>
                <w:sz w:val="24"/>
                <w:szCs w:val="24"/>
              </w:rPr>
            </w:pPr>
            <w:r>
              <w:rPr>
                <w:rFonts w:hint="eastAsia" w:ascii="宋体" w:hAnsi="宋体" w:eastAsia="宋体" w:cs="宋体"/>
                <w:sz w:val="24"/>
                <w:szCs w:val="24"/>
              </w:rPr>
              <w:t>应急预案</w:t>
            </w:r>
          </w:p>
        </w:tc>
        <w:tc>
          <w:tcPr>
            <w:tcW w:w="6885" w:type="dxa"/>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紧急预案实用、经济，切实可行：</w:t>
            </w:r>
            <w:r>
              <w:rPr>
                <w:rFonts w:hint="eastAsia" w:ascii="宋体" w:hAnsi="宋体" w:eastAsia="宋体" w:cs="宋体"/>
                <w:sz w:val="24"/>
                <w:szCs w:val="24"/>
                <w:lang w:val="en-US" w:eastAsia="zh-CN"/>
              </w:rPr>
              <w:t>9</w:t>
            </w:r>
            <w:r>
              <w:rPr>
                <w:rFonts w:hint="eastAsia" w:ascii="宋体" w:hAnsi="宋体" w:eastAsia="宋体" w:cs="宋体"/>
                <w:sz w:val="24"/>
                <w:szCs w:val="24"/>
              </w:rPr>
              <w:t>分；</w:t>
            </w:r>
          </w:p>
          <w:p>
            <w:pPr>
              <w:widowControl/>
              <w:jc w:val="left"/>
              <w:rPr>
                <w:rFonts w:hint="eastAsia" w:ascii="宋体" w:hAnsi="宋体" w:eastAsia="宋体" w:cs="宋体"/>
                <w:sz w:val="24"/>
                <w:szCs w:val="24"/>
              </w:rPr>
            </w:pPr>
            <w:r>
              <w:rPr>
                <w:rFonts w:hint="eastAsia" w:ascii="宋体" w:hAnsi="宋体" w:eastAsia="宋体" w:cs="宋体"/>
                <w:sz w:val="24"/>
                <w:szCs w:val="24"/>
              </w:rPr>
              <w:t>紧急预案较实用、经济，比较可行：</w:t>
            </w:r>
            <w:r>
              <w:rPr>
                <w:rFonts w:hint="eastAsia" w:ascii="宋体" w:hAnsi="宋体" w:eastAsia="宋体" w:cs="宋体"/>
                <w:sz w:val="24"/>
                <w:szCs w:val="24"/>
                <w:lang w:val="en-US" w:eastAsia="zh-CN"/>
              </w:rPr>
              <w:t>6</w:t>
            </w:r>
            <w:r>
              <w:rPr>
                <w:rFonts w:hint="eastAsia" w:ascii="宋体" w:hAnsi="宋体" w:eastAsia="宋体" w:cs="宋体"/>
                <w:sz w:val="24"/>
                <w:szCs w:val="24"/>
              </w:rPr>
              <w:t>分；</w:t>
            </w:r>
          </w:p>
          <w:p>
            <w:pPr>
              <w:widowControl/>
              <w:jc w:val="left"/>
              <w:rPr>
                <w:rFonts w:hint="eastAsia" w:ascii="宋体" w:hAnsi="宋体" w:eastAsia="宋体" w:cs="宋体"/>
                <w:sz w:val="24"/>
                <w:szCs w:val="24"/>
              </w:rPr>
            </w:pPr>
            <w:r>
              <w:rPr>
                <w:rFonts w:hint="eastAsia" w:ascii="宋体" w:hAnsi="宋体" w:eastAsia="宋体" w:cs="宋体"/>
                <w:sz w:val="24"/>
                <w:szCs w:val="24"/>
              </w:rPr>
              <w:t>紧急预案基本实用，基本可行：</w:t>
            </w:r>
            <w:r>
              <w:rPr>
                <w:rFonts w:hint="eastAsia" w:ascii="宋体" w:hAnsi="宋体" w:eastAsia="宋体" w:cs="宋体"/>
                <w:sz w:val="24"/>
                <w:szCs w:val="24"/>
                <w:lang w:val="en-US" w:eastAsia="zh-CN"/>
              </w:rPr>
              <w:t>3</w:t>
            </w:r>
            <w:r>
              <w:rPr>
                <w:rFonts w:hint="eastAsia" w:ascii="宋体" w:hAnsi="宋体" w:eastAsia="宋体" w:cs="宋体"/>
                <w:sz w:val="24"/>
                <w:szCs w:val="24"/>
              </w:rPr>
              <w:t>分；</w:t>
            </w:r>
          </w:p>
          <w:p>
            <w:pPr>
              <w:widowControl/>
              <w:jc w:val="left"/>
              <w:rPr>
                <w:rFonts w:hint="eastAsia" w:ascii="宋体" w:hAnsi="宋体" w:eastAsia="宋体" w:cs="宋体"/>
                <w:sz w:val="24"/>
                <w:szCs w:val="24"/>
              </w:rPr>
            </w:pPr>
            <w:r>
              <w:rPr>
                <w:rFonts w:hint="eastAsia" w:ascii="宋体" w:hAnsi="宋体" w:eastAsia="宋体" w:cs="宋体"/>
                <w:sz w:val="24"/>
                <w:szCs w:val="24"/>
              </w:rPr>
              <w:t>紧急预案不实用、不可行或未应答：0分。</w:t>
            </w:r>
          </w:p>
        </w:tc>
        <w:tc>
          <w:tcPr>
            <w:tcW w:w="1125" w:type="dxa"/>
            <w:noWrap w:val="0"/>
            <w:vAlign w:val="center"/>
          </w:tcPr>
          <w:p>
            <w:pPr>
              <w:snapToGrid w:val="0"/>
              <w:spacing w:line="400" w:lineRule="exact"/>
              <w:jc w:val="center"/>
              <w:rPr>
                <w:rFonts w:hint="eastAsia" w:ascii="宋体" w:hAnsi="宋体" w:eastAsia="宋体" w:cs="宋体"/>
                <w:kern w:val="0"/>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508" w:type="dxa"/>
            <w:noWrap w:val="0"/>
            <w:vAlign w:val="center"/>
          </w:tcPr>
          <w:p>
            <w:pPr>
              <w:widowControl/>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c>
          <w:tcPr>
            <w:tcW w:w="1375" w:type="dxa"/>
            <w:noWrap w:val="0"/>
            <w:vAlign w:val="center"/>
          </w:tcPr>
          <w:p>
            <w:pPr>
              <w:snapToGrid w:val="0"/>
              <w:spacing w:line="400" w:lineRule="exact"/>
              <w:jc w:val="center"/>
              <w:rPr>
                <w:rFonts w:hint="eastAsia" w:ascii="宋体" w:hAnsi="宋体" w:eastAsia="宋体" w:cs="宋体"/>
                <w:sz w:val="24"/>
                <w:szCs w:val="24"/>
              </w:rPr>
            </w:pPr>
            <w:r>
              <w:rPr>
                <w:rFonts w:hint="eastAsia" w:ascii="宋体" w:hAnsi="宋体" w:eastAsia="宋体" w:cs="宋体"/>
                <w:sz w:val="24"/>
                <w:szCs w:val="24"/>
              </w:rPr>
              <w:t>投诉流程、满意度调查制度评价</w:t>
            </w:r>
          </w:p>
        </w:tc>
        <w:tc>
          <w:tcPr>
            <w:tcW w:w="6885"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投诉流程、满意度调查制度健全、可行：7分；</w:t>
            </w:r>
          </w:p>
          <w:p>
            <w:pPr>
              <w:spacing w:line="360" w:lineRule="exact"/>
              <w:rPr>
                <w:rFonts w:hint="eastAsia" w:ascii="宋体" w:hAnsi="宋体" w:eastAsia="宋体" w:cs="宋体"/>
                <w:sz w:val="24"/>
                <w:szCs w:val="24"/>
              </w:rPr>
            </w:pPr>
            <w:r>
              <w:rPr>
                <w:rFonts w:hint="eastAsia" w:ascii="宋体" w:hAnsi="宋体" w:eastAsia="宋体" w:cs="宋体"/>
                <w:sz w:val="24"/>
                <w:szCs w:val="24"/>
              </w:rPr>
              <w:t>投诉流程、满意度调查制度较为健全、可行：5分；</w:t>
            </w:r>
          </w:p>
          <w:p>
            <w:pPr>
              <w:spacing w:line="360" w:lineRule="exact"/>
              <w:rPr>
                <w:rFonts w:hint="eastAsia" w:ascii="宋体" w:hAnsi="宋体" w:eastAsia="宋体" w:cs="宋体"/>
                <w:sz w:val="24"/>
                <w:szCs w:val="24"/>
              </w:rPr>
            </w:pPr>
            <w:r>
              <w:rPr>
                <w:rFonts w:hint="eastAsia" w:ascii="宋体" w:hAnsi="宋体" w:eastAsia="宋体" w:cs="宋体"/>
                <w:sz w:val="24"/>
                <w:szCs w:val="24"/>
              </w:rPr>
              <w:t>投诉流程、满意度调查制度不够健全：3分；</w:t>
            </w:r>
          </w:p>
          <w:p>
            <w:pPr>
              <w:widowControl/>
              <w:jc w:val="left"/>
              <w:rPr>
                <w:rFonts w:hint="eastAsia" w:ascii="宋体" w:hAnsi="宋体" w:eastAsia="宋体" w:cs="宋体"/>
                <w:sz w:val="24"/>
                <w:szCs w:val="24"/>
              </w:rPr>
            </w:pPr>
            <w:r>
              <w:rPr>
                <w:rFonts w:hint="eastAsia" w:ascii="宋体" w:hAnsi="宋体" w:eastAsia="宋体" w:cs="宋体"/>
                <w:sz w:val="24"/>
                <w:szCs w:val="24"/>
              </w:rPr>
              <w:t xml:space="preserve">无投诉流程、满意度调查制度：0分。 </w:t>
            </w:r>
          </w:p>
        </w:tc>
        <w:tc>
          <w:tcPr>
            <w:tcW w:w="1125" w:type="dxa"/>
            <w:noWrap w:val="0"/>
            <w:vAlign w:val="center"/>
          </w:tcPr>
          <w:p>
            <w:pPr>
              <w:snapToGrid w:val="0"/>
              <w:spacing w:line="400" w:lineRule="exact"/>
              <w:jc w:val="center"/>
              <w:rPr>
                <w:rFonts w:hint="eastAsia" w:ascii="宋体" w:hAnsi="宋体" w:eastAsia="宋体" w:cs="宋体"/>
                <w:sz w:val="24"/>
                <w:szCs w:val="24"/>
              </w:rPr>
            </w:pPr>
            <w:r>
              <w:rPr>
                <w:rFonts w:hint="eastAsia" w:ascii="宋体" w:hAnsi="宋体" w:eastAsia="宋体" w:cs="宋体"/>
                <w:sz w:val="24"/>
                <w:szCs w:val="24"/>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93" w:type="dxa"/>
            <w:gridSpan w:val="4"/>
            <w:noWrap w:val="0"/>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sz w:val="24"/>
                <w:szCs w:val="24"/>
              </w:rPr>
              <w:t>第四部分 扣分条款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93" w:type="dxa"/>
            <w:gridSpan w:val="4"/>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经磋商小组认定有下列情形之一的，减2分，最多减10分</w:t>
            </w:r>
          </w:p>
          <w:p>
            <w:pPr>
              <w:widowControl/>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rPr>
              <w:tab/>
            </w:r>
            <w:r>
              <w:rPr>
                <w:rFonts w:hint="eastAsia" w:ascii="宋体" w:hAnsi="宋体" w:eastAsia="宋体" w:cs="宋体"/>
                <w:sz w:val="24"/>
                <w:szCs w:val="24"/>
              </w:rPr>
              <w:t>响应文件不完整，缺页的。</w:t>
            </w:r>
          </w:p>
          <w:p>
            <w:pPr>
              <w:widowControl/>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rPr>
              <w:tab/>
            </w:r>
            <w:r>
              <w:rPr>
                <w:rFonts w:hint="eastAsia" w:ascii="宋体" w:hAnsi="宋体" w:eastAsia="宋体" w:cs="宋体"/>
                <w:sz w:val="24"/>
                <w:szCs w:val="24"/>
              </w:rPr>
              <w:t>响应文件无页码、无目录的。</w:t>
            </w:r>
          </w:p>
          <w:p>
            <w:pPr>
              <w:widowControl/>
              <w:jc w:val="left"/>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rPr>
              <w:tab/>
            </w:r>
            <w:r>
              <w:rPr>
                <w:rFonts w:hint="eastAsia" w:ascii="宋体" w:hAnsi="宋体" w:eastAsia="宋体" w:cs="宋体"/>
                <w:sz w:val="24"/>
                <w:szCs w:val="24"/>
              </w:rPr>
              <w:t>响应文件未按照评分因素及评标标准制作的。</w:t>
            </w:r>
          </w:p>
          <w:p>
            <w:pPr>
              <w:widowControl/>
              <w:jc w:val="left"/>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rPr>
              <w:tab/>
            </w:r>
            <w:r>
              <w:rPr>
                <w:rFonts w:hint="eastAsia" w:ascii="宋体" w:hAnsi="宋体" w:eastAsia="宋体" w:cs="宋体"/>
                <w:sz w:val="24"/>
                <w:szCs w:val="24"/>
              </w:rPr>
              <w:t>不按照磋商文件要求制作投标文件。</w:t>
            </w:r>
          </w:p>
          <w:p>
            <w:pPr>
              <w:widowControl/>
              <w:jc w:val="left"/>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rPr>
              <w:tab/>
            </w:r>
            <w:r>
              <w:rPr>
                <w:rFonts w:hint="eastAsia" w:ascii="宋体" w:hAnsi="宋体" w:eastAsia="宋体" w:cs="宋体"/>
                <w:sz w:val="24"/>
                <w:szCs w:val="24"/>
              </w:rPr>
              <w:t>技术点对点应答完全复制磋商文件的技术条款相关部分内容作为其投标文件的一部分的。</w:t>
            </w:r>
          </w:p>
          <w:p>
            <w:pPr>
              <w:widowControl/>
              <w:jc w:val="left"/>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rPr>
              <w:tab/>
            </w:r>
            <w:r>
              <w:rPr>
                <w:rFonts w:hint="eastAsia" w:ascii="宋体" w:hAnsi="宋体" w:eastAsia="宋体" w:cs="宋体"/>
                <w:sz w:val="24"/>
                <w:szCs w:val="24"/>
              </w:rPr>
              <w:t>响应文件部分内容无法辨认的。</w:t>
            </w:r>
          </w:p>
          <w:p>
            <w:pPr>
              <w:widowControl/>
              <w:jc w:val="left"/>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rPr>
              <w:tab/>
            </w:r>
            <w:r>
              <w:rPr>
                <w:rFonts w:hint="eastAsia" w:ascii="宋体" w:hAnsi="宋体" w:eastAsia="宋体" w:cs="宋体"/>
                <w:sz w:val="24"/>
                <w:szCs w:val="24"/>
              </w:rPr>
              <w:t>响应文件中对同一问题的前后表述不一致的。</w:t>
            </w:r>
          </w:p>
          <w:p>
            <w:pPr>
              <w:widowControl/>
              <w:jc w:val="left"/>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rPr>
              <w:tab/>
            </w:r>
            <w:r>
              <w:rPr>
                <w:rFonts w:hint="eastAsia" w:ascii="宋体" w:hAnsi="宋体" w:eastAsia="宋体" w:cs="宋体"/>
                <w:sz w:val="24"/>
                <w:szCs w:val="24"/>
              </w:rPr>
              <w:t>未在规定时间内答复磋商小组询标的。</w:t>
            </w:r>
          </w:p>
        </w:tc>
      </w:tr>
    </w:tbl>
    <w:p>
      <w:pPr>
        <w:pStyle w:val="23"/>
        <w:spacing w:line="360" w:lineRule="auto"/>
        <w:jc w:val="both"/>
        <w:outlineLvl w:val="2"/>
        <w:rPr>
          <w:rFonts w:hint="eastAsia" w:ascii="宋体" w:hAnsi="宋体" w:eastAsia="宋体" w:cs="宋体"/>
          <w:color w:val="auto"/>
        </w:rPr>
      </w:pP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第五部分 出现以下任何情形取消投标资格：</w:t>
      </w:r>
    </w:p>
    <w:p>
      <w:pPr>
        <w:pStyle w:val="23"/>
        <w:spacing w:line="360" w:lineRule="auto"/>
        <w:jc w:val="both"/>
        <w:rPr>
          <w:rFonts w:ascii="宋体" w:hAnsi="宋体" w:eastAsia="宋体" w:cs="宋体"/>
          <w:color w:val="auto"/>
        </w:rPr>
      </w:pPr>
      <w:r>
        <w:rPr>
          <w:rFonts w:hint="eastAsia" w:ascii="宋体" w:hAnsi="宋体" w:eastAsia="宋体" w:cs="宋体"/>
          <w:color w:val="auto"/>
        </w:rPr>
        <w:t>（1）围标或陪标的；</w:t>
      </w:r>
    </w:p>
    <w:p>
      <w:pPr>
        <w:pStyle w:val="23"/>
        <w:spacing w:line="360" w:lineRule="auto"/>
        <w:jc w:val="both"/>
        <w:rPr>
          <w:rFonts w:ascii="宋体" w:hAnsi="宋体" w:eastAsia="宋体" w:cs="宋体"/>
          <w:color w:val="auto"/>
        </w:rPr>
      </w:pPr>
      <w:r>
        <w:rPr>
          <w:rFonts w:hint="eastAsia" w:ascii="宋体" w:hAnsi="宋体" w:eastAsia="宋体" w:cs="宋体"/>
          <w:color w:val="auto"/>
        </w:rPr>
        <w:t>（2）扰乱评标现场秩序，无理取闹，恶意诽谤的；</w:t>
      </w:r>
    </w:p>
    <w:p>
      <w:pPr>
        <w:pStyle w:val="23"/>
        <w:spacing w:line="360" w:lineRule="auto"/>
        <w:jc w:val="both"/>
        <w:rPr>
          <w:rFonts w:ascii="宋体" w:hAnsi="宋体" w:eastAsia="宋体" w:cs="宋体"/>
          <w:color w:val="auto"/>
        </w:rPr>
      </w:pPr>
      <w:r>
        <w:rPr>
          <w:rFonts w:hint="eastAsia" w:ascii="宋体" w:hAnsi="宋体" w:eastAsia="宋体" w:cs="宋体"/>
          <w:color w:val="auto"/>
        </w:rPr>
        <w:t>（3）提供虚假材料谋取中标的；</w:t>
      </w:r>
    </w:p>
    <w:p>
      <w:pPr>
        <w:pStyle w:val="23"/>
        <w:spacing w:line="360" w:lineRule="auto"/>
        <w:jc w:val="both"/>
        <w:rPr>
          <w:rFonts w:ascii="宋体" w:hAnsi="宋体" w:eastAsia="宋体" w:cs="宋体"/>
          <w:color w:val="auto"/>
        </w:rPr>
      </w:pPr>
      <w:r>
        <w:rPr>
          <w:rFonts w:hint="eastAsia" w:ascii="宋体" w:hAnsi="宋体" w:eastAsia="宋体" w:cs="宋体"/>
          <w:color w:val="auto"/>
        </w:rPr>
        <w:t>（4）不实应答或虚假应标的；</w:t>
      </w:r>
    </w:p>
    <w:p>
      <w:pPr>
        <w:pStyle w:val="23"/>
        <w:spacing w:line="360" w:lineRule="auto"/>
        <w:jc w:val="both"/>
        <w:rPr>
          <w:rFonts w:ascii="宋体" w:hAnsi="宋体" w:eastAsia="宋体" w:cs="宋体"/>
          <w:color w:val="auto"/>
        </w:rPr>
      </w:pPr>
      <w:r>
        <w:rPr>
          <w:rFonts w:hint="eastAsia" w:ascii="宋体" w:hAnsi="宋体" w:eastAsia="宋体" w:cs="宋体"/>
          <w:color w:val="auto"/>
        </w:rPr>
        <w:t>（5）对于被行政处罚尚在禁止参加政府采购活动期内的供应商。</w:t>
      </w:r>
    </w:p>
    <w:p>
      <w:pPr>
        <w:pStyle w:val="23"/>
        <w:spacing w:line="360" w:lineRule="auto"/>
        <w:jc w:val="both"/>
        <w:rPr>
          <w:rFonts w:ascii="宋体" w:hAnsi="宋体" w:eastAsia="宋体" w:cs="宋体"/>
          <w:color w:val="auto"/>
        </w:rPr>
      </w:pPr>
      <w:r>
        <w:rPr>
          <w:rFonts w:hint="eastAsia" w:ascii="宋体" w:hAnsi="宋体" w:eastAsia="宋体" w:cs="宋体"/>
          <w:color w:val="auto"/>
        </w:rPr>
        <w:t>（6）供应商须保证提供材料真实有效，采购人保留进一步核实的权利，一经发现虚假伪造，取消中标资格。</w:t>
      </w:r>
    </w:p>
    <w:p>
      <w:pPr>
        <w:pStyle w:val="23"/>
        <w:spacing w:line="360" w:lineRule="auto"/>
        <w:jc w:val="both"/>
        <w:rPr>
          <w:rFonts w:ascii="宋体" w:hAnsi="宋体" w:eastAsia="宋体" w:cs="宋体"/>
          <w:color w:val="auto"/>
        </w:rPr>
      </w:pPr>
      <w:r>
        <w:rPr>
          <w:rFonts w:hint="eastAsia" w:ascii="宋体" w:hAnsi="宋体" w:eastAsia="宋体" w:cs="宋体"/>
          <w:color w:val="auto"/>
        </w:rPr>
        <w:t>（7）未按照开标规定时间到场、投标人报价为空、为零的将被视为无效投标。</w:t>
      </w:r>
    </w:p>
    <w:p>
      <w:pPr>
        <w:pStyle w:val="23"/>
        <w:spacing w:line="360" w:lineRule="auto"/>
        <w:jc w:val="both"/>
        <w:outlineLvl w:val="1"/>
        <w:rPr>
          <w:rFonts w:ascii="宋体" w:hAnsi="宋体" w:eastAsia="宋体" w:cs="宋体"/>
          <w:b/>
          <w:bCs/>
          <w:color w:val="auto"/>
        </w:rPr>
      </w:pPr>
      <w:r>
        <w:rPr>
          <w:rFonts w:hint="eastAsia" w:ascii="宋体" w:hAnsi="宋体" w:eastAsia="宋体" w:cs="宋体"/>
          <w:b/>
          <w:bCs/>
          <w:color w:val="auto"/>
        </w:rPr>
        <w:t>八、其他注意事项</w:t>
      </w:r>
    </w:p>
    <w:p>
      <w:pPr>
        <w:pStyle w:val="23"/>
        <w:spacing w:line="360" w:lineRule="auto"/>
        <w:jc w:val="both"/>
        <w:rPr>
          <w:rFonts w:ascii="宋体" w:hAnsi="宋体" w:eastAsia="宋体" w:cs="宋体"/>
          <w:color w:val="auto"/>
        </w:rPr>
      </w:pPr>
      <w:r>
        <w:rPr>
          <w:rFonts w:hint="eastAsia" w:ascii="宋体" w:hAnsi="宋体" w:eastAsia="宋体" w:cs="宋体"/>
          <w:color w:val="auto"/>
        </w:rPr>
        <w:t>（一）请投标人在开标前随时关注天津市政府采购网。若有补充文件，请投标人将“补充文件回执”下载后盖上公章，送至本代理公司。至投标截止时间仍未收到“补充文件回执”的视为已熟知补充文件内容，接受补充文件所表述内容，并承担由此可能产生的风险。</w:t>
      </w:r>
    </w:p>
    <w:p>
      <w:pPr>
        <w:pStyle w:val="23"/>
        <w:spacing w:line="360" w:lineRule="auto"/>
        <w:jc w:val="both"/>
        <w:rPr>
          <w:rFonts w:ascii="宋体" w:hAnsi="宋体" w:eastAsia="宋体" w:cs="宋体"/>
          <w:color w:val="auto"/>
          <w:highlight w:val="none"/>
        </w:rPr>
      </w:pPr>
      <w:r>
        <w:rPr>
          <w:rFonts w:hint="eastAsia" w:ascii="宋体" w:hAnsi="宋体" w:eastAsia="宋体" w:cs="宋体"/>
          <w:color w:val="auto"/>
          <w:highlight w:val="none"/>
        </w:rPr>
        <w:t>（二）响应文件编制要求</w:t>
      </w:r>
    </w:p>
    <w:p>
      <w:pPr>
        <w:pStyle w:val="23"/>
        <w:spacing w:line="360" w:lineRule="auto"/>
        <w:rPr>
          <w:rFonts w:ascii="宋体" w:hAnsi="宋体" w:eastAsia="宋体" w:cs="宋体"/>
          <w:color w:val="auto"/>
        </w:rPr>
      </w:pPr>
      <w:r>
        <w:rPr>
          <w:rFonts w:hint="eastAsia" w:ascii="宋体" w:hAnsi="宋体" w:eastAsia="宋体" w:cs="宋体"/>
          <w:color w:val="auto"/>
        </w:rPr>
        <w:t>1.本项目须提交两阶段响应文件，分别包括一份正本响应文件、三份副本响应文件(正本、副本须逐页加盖单位公章并须加盖骑缝章)，电子版文件一份(电子版随正本响应文件一同密封)。其中，纸质响应文件共分为资质文件、技术及商务文件(不含报价)和报价文件；</w:t>
      </w:r>
    </w:p>
    <w:p>
      <w:pPr>
        <w:pStyle w:val="23"/>
        <w:spacing w:line="360" w:lineRule="auto"/>
        <w:rPr>
          <w:rFonts w:ascii="宋体" w:hAnsi="宋体" w:eastAsia="宋体" w:cs="宋体"/>
          <w:color w:val="auto"/>
        </w:rPr>
      </w:pPr>
      <w:r>
        <w:rPr>
          <w:rFonts w:hint="eastAsia" w:ascii="宋体" w:hAnsi="宋体" w:eastAsia="宋体" w:cs="宋体"/>
          <w:color w:val="auto"/>
        </w:rPr>
        <w:t>2.第一阶段提交资质文件、技术及商务文件(不含报价)；第一阶段文件中如出现报价信息，按废标处理。</w:t>
      </w:r>
    </w:p>
    <w:p>
      <w:pPr>
        <w:pStyle w:val="23"/>
        <w:spacing w:line="360" w:lineRule="auto"/>
        <w:rPr>
          <w:rFonts w:ascii="宋体" w:hAnsi="宋体" w:eastAsia="宋体" w:cs="宋体"/>
          <w:color w:val="auto"/>
        </w:rPr>
      </w:pPr>
      <w:r>
        <w:rPr>
          <w:rFonts w:hint="eastAsia" w:ascii="宋体" w:hAnsi="宋体" w:eastAsia="宋体" w:cs="宋体"/>
          <w:color w:val="auto"/>
        </w:rPr>
        <w:t>3.第二阶段提交报价文件。第一二阶段文件应分别密封。投标文件未密封或密封不完全的，按废标处理；</w:t>
      </w:r>
    </w:p>
    <w:p>
      <w:pPr>
        <w:pStyle w:val="23"/>
        <w:spacing w:line="360" w:lineRule="auto"/>
        <w:rPr>
          <w:rFonts w:ascii="宋体" w:hAnsi="宋体" w:eastAsia="宋体" w:cs="宋体"/>
          <w:color w:val="auto"/>
        </w:rPr>
      </w:pPr>
      <w:r>
        <w:rPr>
          <w:rFonts w:hint="eastAsia" w:ascii="宋体" w:hAnsi="宋体" w:eastAsia="宋体" w:cs="宋体"/>
          <w:color w:val="auto"/>
        </w:rPr>
        <w:t>4.投标文件需胶装，不按要求胶装的，按废标处理；</w:t>
      </w:r>
    </w:p>
    <w:p>
      <w:pPr>
        <w:pStyle w:val="23"/>
        <w:spacing w:line="360" w:lineRule="auto"/>
        <w:rPr>
          <w:rFonts w:ascii="宋体" w:hAnsi="宋体" w:eastAsia="宋体" w:cs="宋体"/>
          <w:color w:val="auto"/>
        </w:rPr>
      </w:pPr>
      <w:r>
        <w:rPr>
          <w:rFonts w:hint="eastAsia" w:ascii="宋体" w:hAnsi="宋体" w:eastAsia="宋体" w:cs="宋体"/>
          <w:color w:val="auto"/>
        </w:rPr>
        <w:t>5.投标文件应具备页码和目录，否则按废标处理；</w:t>
      </w:r>
    </w:p>
    <w:p>
      <w:pPr>
        <w:pStyle w:val="23"/>
        <w:spacing w:line="360" w:lineRule="auto"/>
        <w:rPr>
          <w:rFonts w:ascii="宋体" w:hAnsi="宋体" w:eastAsia="宋体" w:cs="宋体"/>
          <w:color w:val="auto"/>
        </w:rPr>
      </w:pPr>
      <w:r>
        <w:rPr>
          <w:rFonts w:hint="eastAsia" w:ascii="宋体" w:hAnsi="宋体" w:eastAsia="宋体" w:cs="宋体"/>
          <w:color w:val="auto"/>
        </w:rPr>
        <w:t>6.如投标多个包的，要求按包分别独立制作投标文件。</w:t>
      </w:r>
    </w:p>
    <w:p>
      <w:pPr>
        <w:pStyle w:val="23"/>
        <w:spacing w:line="360" w:lineRule="auto"/>
        <w:rPr>
          <w:rFonts w:cs="Arial" w:asciiTheme="minorEastAsia" w:hAnsiTheme="minorEastAsia" w:eastAsiaTheme="minorEastAsia"/>
          <w:color w:val="auto"/>
          <w:kern w:val="2"/>
        </w:rPr>
      </w:pPr>
      <w:r>
        <w:rPr>
          <w:rFonts w:cs="Arial" w:asciiTheme="minorEastAsia" w:hAnsiTheme="minorEastAsia" w:eastAsiaTheme="minorEastAsia"/>
          <w:color w:val="auto"/>
          <w:kern w:val="2"/>
        </w:rPr>
        <w:t>(三)服务费</w:t>
      </w:r>
    </w:p>
    <w:p>
      <w:pPr>
        <w:pStyle w:val="23"/>
        <w:spacing w:line="360" w:lineRule="auto"/>
        <w:rPr>
          <w:rFonts w:ascii="宋体" w:hAnsi="宋体" w:eastAsia="宋体" w:cs="Arial"/>
          <w:color w:val="auto"/>
        </w:rPr>
      </w:pPr>
      <w:r>
        <w:rPr>
          <w:rFonts w:ascii="宋体" w:hAnsi="宋体" w:eastAsia="宋体" w:cs="宋体"/>
          <w:color w:val="auto"/>
        </w:rPr>
        <w:t>根据国家计委关于印发</w:t>
      </w:r>
      <w:r>
        <w:rPr>
          <w:rFonts w:ascii="宋体" w:hAnsi="宋体" w:eastAsia="宋体" w:cs="Arial"/>
          <w:color w:val="auto"/>
        </w:rPr>
        <w:t>《</w:t>
      </w:r>
      <w:r>
        <w:rPr>
          <w:rFonts w:ascii="宋体" w:hAnsi="宋体" w:eastAsia="宋体" w:cs="Arial"/>
          <w:b/>
          <w:color w:val="auto"/>
        </w:rPr>
        <w:t>招标代理服务收费管理暂行办法的通知(计价格[2002]1980号)</w:t>
      </w:r>
      <w:r>
        <w:rPr>
          <w:rFonts w:ascii="宋体" w:hAnsi="宋体" w:eastAsia="宋体" w:cs="Arial"/>
          <w:color w:val="auto"/>
        </w:rPr>
        <w:t>》和《</w:t>
      </w:r>
      <w:r>
        <w:rPr>
          <w:rFonts w:ascii="宋体" w:hAnsi="宋体" w:eastAsia="宋体" w:cs="Arial"/>
          <w:b/>
          <w:color w:val="auto"/>
        </w:rPr>
        <w:t>国家发展改革委办公厅关于招标代理服务收费有关问题的通知(发改办价格[2003]857号)</w:t>
      </w:r>
      <w:r>
        <w:rPr>
          <w:rFonts w:ascii="宋体" w:hAnsi="宋体" w:eastAsia="宋体" w:cs="Arial"/>
          <w:color w:val="auto"/>
        </w:rPr>
        <w:t>》的文件规定，本次项目向中标单位收取服务费，收费标准如下：</w:t>
      </w:r>
    </w:p>
    <w:tbl>
      <w:tblPr>
        <w:tblStyle w:val="17"/>
        <w:tblW w:w="8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5"/>
        <w:gridCol w:w="1932"/>
        <w:gridCol w:w="1932"/>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中标金额(万元)</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货物招标</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服务招标</w:t>
            </w:r>
          </w:p>
        </w:tc>
        <w:tc>
          <w:tcPr>
            <w:tcW w:w="1933"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100以下</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1.5%</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1.5%</w:t>
            </w:r>
          </w:p>
        </w:tc>
        <w:tc>
          <w:tcPr>
            <w:tcW w:w="1933"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100-500</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1.1%</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0.8%</w:t>
            </w:r>
          </w:p>
        </w:tc>
        <w:tc>
          <w:tcPr>
            <w:tcW w:w="1933"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500-1000</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0.8%</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0.45%</w:t>
            </w:r>
          </w:p>
        </w:tc>
        <w:tc>
          <w:tcPr>
            <w:tcW w:w="1933"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1000-5000</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0.5%</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0.25%</w:t>
            </w:r>
          </w:p>
        </w:tc>
        <w:tc>
          <w:tcPr>
            <w:tcW w:w="1933"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5000-10000</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0.25%</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0.1%</w:t>
            </w:r>
          </w:p>
        </w:tc>
        <w:tc>
          <w:tcPr>
            <w:tcW w:w="1933"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10000-100000</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0.05%</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0.05%</w:t>
            </w:r>
          </w:p>
        </w:tc>
        <w:tc>
          <w:tcPr>
            <w:tcW w:w="1933"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100000以上</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0.01%</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0.01%</w:t>
            </w:r>
          </w:p>
        </w:tc>
        <w:tc>
          <w:tcPr>
            <w:tcW w:w="1933"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0.01%</w:t>
            </w:r>
          </w:p>
        </w:tc>
      </w:tr>
    </w:tbl>
    <w:p>
      <w:pPr>
        <w:pStyle w:val="23"/>
        <w:snapToGrid w:val="0"/>
        <w:jc w:val="center"/>
        <w:rPr>
          <w:rFonts w:ascii="宋体" w:hAnsi="宋体" w:eastAsia="宋体" w:cs="宋体"/>
        </w:rPr>
      </w:pPr>
    </w:p>
    <w:p>
      <w:pPr>
        <w:pStyle w:val="23"/>
        <w:snapToGrid w:val="0"/>
        <w:ind w:firstLine="241" w:firstLineChars="100"/>
        <w:rPr>
          <w:rFonts w:ascii="宋体" w:hAnsi="宋体" w:eastAsia="宋体" w:cs="宋体"/>
          <w:b/>
        </w:rPr>
      </w:pPr>
    </w:p>
    <w:p>
      <w:pPr>
        <w:pStyle w:val="23"/>
        <w:snapToGrid w:val="0"/>
        <w:ind w:firstLine="241" w:firstLineChars="100"/>
        <w:rPr>
          <w:rFonts w:ascii="宋体" w:hAnsi="宋体" w:eastAsia="宋体" w:cs="宋体"/>
          <w:b/>
        </w:rPr>
      </w:pPr>
      <w:r>
        <w:rPr>
          <w:rFonts w:ascii="宋体" w:hAnsi="宋体" w:eastAsia="宋体" w:cs="宋体"/>
          <w:b/>
        </w:rPr>
        <w:t>服务费按差额定率累进法计算。例如</w:t>
      </w:r>
      <w:r>
        <w:rPr>
          <w:rFonts w:hint="eastAsia" w:ascii="宋体" w:hAnsi="宋体" w:eastAsia="宋体" w:cs="宋体"/>
          <w:b/>
        </w:rPr>
        <w:t>某服务</w:t>
      </w:r>
      <w:r>
        <w:rPr>
          <w:rFonts w:ascii="宋体" w:hAnsi="宋体" w:eastAsia="宋体" w:cs="宋体"/>
          <w:b/>
        </w:rPr>
        <w:t>中标金额为680万元，则应缴服务费等于</w:t>
      </w:r>
    </w:p>
    <w:p>
      <w:pPr>
        <w:pStyle w:val="23"/>
        <w:snapToGrid w:val="0"/>
        <w:jc w:val="center"/>
        <w:rPr>
          <w:rFonts w:ascii="宋体" w:hAnsi="宋体" w:eastAsia="宋体" w:cs="宋体"/>
          <w:b/>
        </w:rPr>
      </w:pPr>
      <w:r>
        <w:rPr>
          <w:rFonts w:ascii="宋体" w:hAnsi="宋体" w:eastAsia="宋体" w:cs="宋体"/>
          <w:b/>
        </w:rPr>
        <w:t>100×1</w:t>
      </w:r>
      <w:r>
        <w:rPr>
          <w:rFonts w:hint="eastAsia" w:ascii="宋体" w:hAnsi="宋体" w:eastAsia="宋体" w:cs="宋体"/>
          <w:b/>
        </w:rPr>
        <w:t>.</w:t>
      </w:r>
      <w:r>
        <w:rPr>
          <w:rFonts w:ascii="宋体" w:hAnsi="宋体" w:eastAsia="宋体" w:cs="宋体"/>
          <w:b/>
        </w:rPr>
        <w:t>5%+(500-100)×0</w:t>
      </w:r>
      <w:r>
        <w:rPr>
          <w:rFonts w:hint="eastAsia" w:ascii="宋体" w:hAnsi="宋体" w:eastAsia="宋体" w:cs="宋体"/>
          <w:b/>
        </w:rPr>
        <w:t>.</w:t>
      </w:r>
      <w:r>
        <w:rPr>
          <w:rFonts w:ascii="宋体" w:hAnsi="宋体" w:eastAsia="宋体" w:cs="宋体"/>
          <w:b/>
        </w:rPr>
        <w:t>8%+(680-500)×0</w:t>
      </w:r>
      <w:r>
        <w:rPr>
          <w:rFonts w:hint="eastAsia" w:ascii="宋体" w:hAnsi="宋体" w:eastAsia="宋体" w:cs="宋体"/>
          <w:b/>
        </w:rPr>
        <w:t>.</w:t>
      </w:r>
      <w:r>
        <w:rPr>
          <w:rFonts w:ascii="宋体" w:hAnsi="宋体" w:eastAsia="宋体" w:cs="宋体"/>
          <w:b/>
        </w:rPr>
        <w:t>45%=5</w:t>
      </w:r>
      <w:r>
        <w:rPr>
          <w:rFonts w:hint="eastAsia" w:ascii="宋体" w:hAnsi="宋体" w:eastAsia="宋体" w:cs="宋体"/>
          <w:b/>
        </w:rPr>
        <w:t>.</w:t>
      </w:r>
      <w:r>
        <w:rPr>
          <w:rFonts w:ascii="宋体" w:hAnsi="宋体" w:eastAsia="宋体" w:cs="宋体"/>
          <w:b/>
        </w:rPr>
        <w:t>51万元，其中中标金额以《中标通</w:t>
      </w:r>
    </w:p>
    <w:p>
      <w:pPr>
        <w:pStyle w:val="23"/>
        <w:snapToGrid w:val="0"/>
        <w:rPr>
          <w:rFonts w:ascii="宋体" w:hAnsi="宋体" w:eastAsia="宋体" w:cs="宋体"/>
          <w:b/>
        </w:rPr>
      </w:pPr>
      <w:r>
        <w:rPr>
          <w:rFonts w:ascii="宋体" w:hAnsi="宋体" w:eastAsia="宋体" w:cs="宋体"/>
          <w:b/>
        </w:rPr>
        <w:t>知书》为准。</w:t>
      </w:r>
    </w:p>
    <w:p>
      <w:pPr>
        <w:pStyle w:val="23"/>
        <w:spacing w:line="360" w:lineRule="auto"/>
        <w:jc w:val="both"/>
        <w:rPr>
          <w:rFonts w:ascii="宋体" w:hAnsi="宋体" w:eastAsia="宋体" w:cs="宋体"/>
          <w:color w:val="auto"/>
        </w:rPr>
      </w:pPr>
      <w:r>
        <w:rPr>
          <w:rFonts w:hint="eastAsia" w:ascii="宋体" w:hAnsi="宋体" w:eastAsia="宋体" w:cs="宋体"/>
          <w:color w:val="auto"/>
        </w:rPr>
        <w:t>（四）其他</w:t>
      </w:r>
    </w:p>
    <w:p>
      <w:pPr>
        <w:pStyle w:val="23"/>
        <w:spacing w:line="360" w:lineRule="auto"/>
        <w:jc w:val="both"/>
        <w:rPr>
          <w:rFonts w:ascii="宋体" w:hAnsi="宋体" w:eastAsia="宋体" w:cs="宋体"/>
          <w:color w:val="auto"/>
        </w:rPr>
      </w:pPr>
      <w:r>
        <w:rPr>
          <w:rFonts w:hint="eastAsia" w:ascii="宋体" w:hAnsi="宋体" w:eastAsia="宋体" w:cs="宋体"/>
          <w:color w:val="auto"/>
        </w:rPr>
        <w:t>1. 开标以后，不接受投标人及与投标人有关的任何一方递交的材料（磋商小组要求提供的除外）。</w:t>
      </w:r>
    </w:p>
    <w:p>
      <w:pPr>
        <w:pStyle w:val="23"/>
        <w:spacing w:line="360" w:lineRule="auto"/>
        <w:jc w:val="both"/>
        <w:rPr>
          <w:rFonts w:ascii="宋体" w:hAnsi="宋体" w:eastAsia="宋体" w:cs="宋体"/>
          <w:color w:val="auto"/>
        </w:rPr>
      </w:pPr>
      <w:r>
        <w:rPr>
          <w:rFonts w:hint="eastAsia" w:ascii="宋体" w:hAnsi="宋体" w:eastAsia="宋体" w:cs="宋体"/>
          <w:color w:val="auto"/>
        </w:rPr>
        <w:t>2. 投标人应在投标文件中对所提供的产品进行点对点应答，并逐一做出具体响应。</w:t>
      </w:r>
    </w:p>
    <w:p>
      <w:pPr>
        <w:pStyle w:val="23"/>
        <w:spacing w:line="360" w:lineRule="auto"/>
        <w:jc w:val="both"/>
        <w:rPr>
          <w:rFonts w:ascii="宋体" w:hAnsi="宋体" w:eastAsia="宋体" w:cs="宋体"/>
          <w:color w:val="auto"/>
        </w:rPr>
      </w:pPr>
      <w:r>
        <w:rPr>
          <w:rFonts w:hint="eastAsia" w:ascii="宋体" w:hAnsi="宋体" w:eastAsia="宋体" w:cs="宋体"/>
          <w:color w:val="auto"/>
        </w:rPr>
        <w:t>3. 投标人有选择出席或不出席答疑会和踏勘现场的权利，有在会上提出各项涉及招标文件内容问题的权利；未在答疑会和踏勘现场召开之时到达现场视为知悉答疑会举行并自愿缺席；无论是否参加答疑会和踏勘现场及提出问题，投标人必须自行承担缺席答疑会和踏勘现场可能产生的风险。</w:t>
      </w:r>
    </w:p>
    <w:p>
      <w:pPr>
        <w:pStyle w:val="23"/>
        <w:spacing w:line="360" w:lineRule="auto"/>
        <w:jc w:val="both"/>
        <w:rPr>
          <w:rFonts w:ascii="宋体" w:hAnsi="宋体" w:eastAsia="宋体" w:cs="宋体"/>
          <w:color w:val="auto"/>
        </w:rPr>
      </w:pPr>
      <w:r>
        <w:rPr>
          <w:rFonts w:hint="eastAsia" w:ascii="宋体" w:hAnsi="宋体" w:eastAsia="宋体" w:cs="宋体"/>
          <w:color w:val="auto"/>
        </w:rPr>
        <w:t>4. 投标文件格式须采用第六部分附件的格式，第六部分未涉及的，投标单位可自拟。</w:t>
      </w:r>
    </w:p>
    <w:p>
      <w:pPr>
        <w:pStyle w:val="23"/>
        <w:spacing w:line="360" w:lineRule="auto"/>
        <w:jc w:val="both"/>
        <w:rPr>
          <w:rFonts w:ascii="宋体" w:hAnsi="宋体" w:eastAsia="宋体" w:cs="宋体"/>
          <w:color w:val="auto"/>
        </w:rPr>
      </w:pPr>
      <w:r>
        <w:rPr>
          <w:rFonts w:hint="eastAsia" w:ascii="宋体" w:hAnsi="宋体" w:eastAsia="宋体" w:cs="宋体"/>
          <w:color w:val="auto"/>
        </w:rPr>
        <w:t>5. 本部分如与竞争性磋商文件其他部分有不同之处，以本部分内容为准。</w:t>
      </w:r>
    </w:p>
    <w:p>
      <w:pPr>
        <w:pStyle w:val="23"/>
        <w:spacing w:line="360" w:lineRule="auto"/>
        <w:jc w:val="both"/>
        <w:rPr>
          <w:rFonts w:ascii="宋体" w:hAnsi="宋体" w:eastAsia="宋体" w:cs="宋体"/>
          <w:color w:val="auto"/>
        </w:rPr>
      </w:pPr>
      <w:r>
        <w:rPr>
          <w:rFonts w:hint="eastAsia" w:ascii="宋体" w:hAnsi="宋体" w:eastAsia="宋体" w:cs="宋体"/>
          <w:color w:val="auto"/>
        </w:rPr>
        <w:t>6. 在合同签订与执行过程中，出现下列情况的，将在天津市政府采购网站上予以公布：</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（1）不按时签订合同的；</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（2）未在规定的时间内将合同送交我单位备案的；</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（3）在合同执行过程中未按合同约定履约。</w:t>
      </w:r>
    </w:p>
    <w:p>
      <w:pPr>
        <w:pStyle w:val="23"/>
        <w:spacing w:line="360" w:lineRule="auto"/>
        <w:jc w:val="both"/>
        <w:rPr>
          <w:rFonts w:ascii="宋体" w:hAnsi="宋体" w:eastAsia="宋体" w:cs="宋体"/>
          <w:color w:val="auto"/>
        </w:rPr>
      </w:pPr>
      <w:r>
        <w:rPr>
          <w:rFonts w:hint="eastAsia" w:ascii="宋体" w:hAnsi="宋体" w:eastAsia="宋体" w:cs="宋体"/>
          <w:color w:val="auto"/>
        </w:rPr>
        <w:t>7. 投标人认为竞争性磋商文件、磋商过程、成交结果使自己的合法权益受到损害的，可按照《关于规范政府采购投标人质疑处理工作有关事项的通知》（津财采[2010]14号）的规定提出质疑，相关文件详见天津市政府采购网（www.tjgpc.gov.cn）。</w:t>
      </w:r>
    </w:p>
    <w:p>
      <w:pPr>
        <w:pStyle w:val="23"/>
        <w:spacing w:line="360" w:lineRule="auto"/>
        <w:jc w:val="both"/>
        <w:rPr>
          <w:rFonts w:ascii="宋体" w:hAnsi="宋体" w:eastAsia="宋体" w:cs="宋体"/>
          <w:color w:val="auto"/>
        </w:rPr>
      </w:pPr>
      <w:r>
        <w:rPr>
          <w:rFonts w:hint="eastAsia" w:ascii="宋体" w:hAnsi="宋体" w:eastAsia="宋体" w:cs="宋体"/>
          <w:color w:val="auto"/>
        </w:rPr>
        <w:t>8. 出现下列情形之一的，采购人或者采购代理机构应当终止竞争性磋商采购活动，发布项目终止公告并说明原因，重新开展采购活动：</w:t>
      </w:r>
    </w:p>
    <w:p>
      <w:pPr>
        <w:pStyle w:val="23"/>
        <w:spacing w:line="360" w:lineRule="auto"/>
        <w:jc w:val="both"/>
        <w:rPr>
          <w:rFonts w:ascii="宋体" w:hAnsi="宋体" w:eastAsia="宋体" w:cs="宋体"/>
          <w:color w:val="auto"/>
        </w:rPr>
      </w:pPr>
      <w:r>
        <w:rPr>
          <w:rFonts w:hint="eastAsia" w:ascii="宋体" w:hAnsi="宋体" w:eastAsia="宋体" w:cs="宋体"/>
          <w:color w:val="auto"/>
        </w:rPr>
        <w:t>（1）因情况变化，不再符合规定的竞争性磋商采购方式适用情形的；</w:t>
      </w:r>
    </w:p>
    <w:p>
      <w:pPr>
        <w:pStyle w:val="23"/>
        <w:spacing w:line="360" w:lineRule="auto"/>
        <w:jc w:val="both"/>
        <w:rPr>
          <w:rFonts w:ascii="宋体" w:hAnsi="宋体" w:eastAsia="宋体" w:cs="宋体"/>
          <w:color w:val="auto"/>
        </w:rPr>
      </w:pPr>
      <w:r>
        <w:rPr>
          <w:rFonts w:hint="eastAsia" w:ascii="宋体" w:hAnsi="宋体" w:eastAsia="宋体" w:cs="宋体"/>
          <w:color w:val="auto"/>
        </w:rPr>
        <w:t>（2）出现影响采购公正的违法、违规行为的；</w:t>
      </w:r>
    </w:p>
    <w:p>
      <w:pPr>
        <w:pStyle w:val="23"/>
        <w:spacing w:line="360" w:lineRule="auto"/>
        <w:jc w:val="both"/>
        <w:rPr>
          <w:rFonts w:ascii="宋体" w:hAnsi="宋体" w:eastAsia="宋体" w:cs="宋体"/>
          <w:color w:val="auto"/>
        </w:rPr>
        <w:sectPr>
          <w:footerReference r:id="rId4" w:type="default"/>
          <w:pgSz w:w="11906" w:h="16838"/>
          <w:pgMar w:top="1418" w:right="1418" w:bottom="1260" w:left="1418" w:header="709" w:footer="709" w:gutter="0"/>
          <w:pgBorders>
            <w:top w:val="none" w:sz="0" w:space="0"/>
            <w:left w:val="none" w:sz="0" w:space="0"/>
            <w:bottom w:val="none" w:sz="0" w:space="0"/>
            <w:right w:val="none" w:sz="0" w:space="0"/>
          </w:pgBorders>
          <w:pgNumType w:start="1"/>
          <w:cols w:space="720" w:num="1"/>
          <w:docGrid w:type="lines" w:linePitch="360" w:charSpace="0"/>
        </w:sectPr>
      </w:pPr>
      <w:r>
        <w:rPr>
          <w:rFonts w:hint="eastAsia" w:ascii="宋体" w:hAnsi="宋体" w:eastAsia="宋体" w:cs="宋体"/>
          <w:color w:val="auto"/>
        </w:rPr>
        <w:t>（3）除《政府采购竞争性磋商采购方式管理暂行办法》第二十一条第三款规定的情形外，在采购过程中符合要求的投标人或者报价未超过采购预算的投标人不足3家的。</w:t>
      </w:r>
    </w:p>
    <w:p>
      <w:pPr>
        <w:tabs>
          <w:tab w:val="left" w:pos="1260"/>
          <w:tab w:val="center" w:pos="4156"/>
        </w:tabs>
        <w:autoSpaceDE w:val="0"/>
        <w:autoSpaceDN w:val="0"/>
        <w:jc w:val="center"/>
        <w:outlineLvl w:val="0"/>
        <w:rPr>
          <w:rFonts w:ascii="宋体" w:hAnsi="宋体" w:eastAsia="宋体" w:cs="宋体"/>
          <w:b/>
          <w:bCs/>
          <w:kern w:val="2"/>
          <w:sz w:val="32"/>
          <w:szCs w:val="32"/>
          <w:highlight w:val="none"/>
        </w:rPr>
      </w:pPr>
      <w:bookmarkStart w:id="66" w:name="_Toc30845"/>
      <w:bookmarkStart w:id="67" w:name="_Toc21686"/>
      <w:bookmarkStart w:id="68" w:name="_Toc9540"/>
      <w:bookmarkStart w:id="69" w:name="_Toc14539"/>
      <w:bookmarkStart w:id="70" w:name="_Toc1812"/>
      <w:bookmarkStart w:id="71" w:name="_Toc30459"/>
      <w:bookmarkStart w:id="72" w:name="_Toc27842"/>
      <w:bookmarkStart w:id="73" w:name="_Toc10658"/>
      <w:bookmarkStart w:id="74" w:name="_Toc22365"/>
      <w:bookmarkStart w:id="75" w:name="_Toc13724"/>
      <w:r>
        <w:rPr>
          <w:rFonts w:hint="eastAsia" w:ascii="宋体" w:hAnsi="宋体" w:eastAsia="宋体" w:cs="宋体"/>
          <w:b/>
          <w:bCs/>
          <w:kern w:val="2"/>
          <w:sz w:val="32"/>
          <w:szCs w:val="32"/>
          <w:highlight w:val="none"/>
        </w:rPr>
        <w:t>第三部分  项目需求书</w:t>
      </w:r>
      <w:bookmarkEnd w:id="66"/>
      <w:bookmarkEnd w:id="67"/>
      <w:bookmarkEnd w:id="68"/>
      <w:bookmarkEnd w:id="69"/>
      <w:bookmarkEnd w:id="70"/>
      <w:bookmarkEnd w:id="71"/>
      <w:bookmarkEnd w:id="72"/>
      <w:bookmarkEnd w:id="73"/>
      <w:bookmarkEnd w:id="74"/>
      <w:bookmarkEnd w:id="75"/>
    </w:p>
    <w:p>
      <w:pPr>
        <w:spacing w:line="240" w:lineRule="auto"/>
        <w:jc w:val="left"/>
        <w:rPr>
          <w:rFonts w:hint="eastAsia" w:ascii="宋体" w:hAnsi="宋体" w:eastAsia="宋体" w:cs="宋体"/>
          <w:b/>
          <w:sz w:val="24"/>
          <w:szCs w:val="24"/>
        </w:rPr>
      </w:pPr>
      <w:r>
        <w:rPr>
          <w:rFonts w:hint="eastAsia" w:ascii="宋体" w:hAnsi="宋体" w:eastAsia="宋体" w:cs="宋体"/>
          <w:b/>
          <w:sz w:val="24"/>
          <w:szCs w:val="24"/>
        </w:rPr>
        <w:t>一、道路和设施清整</w:t>
      </w:r>
    </w:p>
    <w:p>
      <w:pPr>
        <w:spacing w:line="24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1.便道维修（新景道95处、嘉华路25处、嘉泰道35处、新华道20处、铁西路53处）</w:t>
      </w:r>
    </w:p>
    <w:p>
      <w:pPr>
        <w:spacing w:line="24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rPr>
        <w:t>2.填井</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50个</w:t>
      </w:r>
      <w:r>
        <w:rPr>
          <w:rFonts w:hint="eastAsia" w:ascii="宋体" w:hAnsi="宋体" w:eastAsia="宋体" w:cs="宋体"/>
          <w:sz w:val="24"/>
          <w:szCs w:val="24"/>
          <w:lang w:eastAsia="zh-CN"/>
        </w:rPr>
        <w:t>）</w:t>
      </w:r>
    </w:p>
    <w:p>
      <w:pPr>
        <w:spacing w:line="24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3.便道施划非机动车线（门脸前和各个小区门口）</w:t>
      </w:r>
    </w:p>
    <w:p>
      <w:pPr>
        <w:spacing w:line="24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4.荣畅园小区西门设立挡板</w:t>
      </w:r>
    </w:p>
    <w:p>
      <w:pPr>
        <w:spacing w:line="24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5.新景道安装灯箱果皮箱</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20个</w:t>
      </w:r>
      <w:r>
        <w:rPr>
          <w:rFonts w:hint="eastAsia" w:ascii="宋体" w:hAnsi="宋体" w:eastAsia="宋体" w:cs="宋体"/>
          <w:sz w:val="24"/>
          <w:szCs w:val="24"/>
          <w:lang w:eastAsia="zh-CN"/>
        </w:rPr>
        <w:t>）</w:t>
      </w:r>
    </w:p>
    <w:p>
      <w:pPr>
        <w:spacing w:line="240" w:lineRule="auto"/>
        <w:ind w:firstLine="480" w:firstLineChars="200"/>
        <w:jc w:val="left"/>
        <w:rPr>
          <w:rFonts w:hint="eastAsia" w:ascii="宋体" w:hAnsi="宋体" w:eastAsia="宋体" w:cs="宋体"/>
          <w:b/>
          <w:bCs/>
          <w:sz w:val="24"/>
          <w:szCs w:val="24"/>
        </w:rPr>
      </w:pPr>
      <w:r>
        <w:rPr>
          <w:rFonts w:hint="eastAsia" w:ascii="宋体" w:hAnsi="宋体" w:eastAsia="宋体" w:cs="宋体"/>
          <w:sz w:val="24"/>
          <w:szCs w:val="24"/>
        </w:rPr>
        <w:t>6.新景道景观墙</w:t>
      </w:r>
    </w:p>
    <w:p>
      <w:pPr>
        <w:spacing w:line="24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7.在（盛康、盛逸、荣畅）安装立式烟灰缸</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70个</w:t>
      </w:r>
      <w:r>
        <w:rPr>
          <w:rFonts w:hint="eastAsia" w:ascii="宋体" w:hAnsi="宋体" w:eastAsia="宋体" w:cs="宋体"/>
          <w:sz w:val="24"/>
          <w:szCs w:val="24"/>
          <w:lang w:eastAsia="zh-CN"/>
        </w:rPr>
        <w:t>）</w:t>
      </w:r>
    </w:p>
    <w:p>
      <w:pPr>
        <w:spacing w:line="24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8.在（盛逸、荣畅）隐形消防通道安装消防立柱</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40个</w:t>
      </w:r>
      <w:r>
        <w:rPr>
          <w:rFonts w:hint="eastAsia" w:ascii="宋体" w:hAnsi="宋体" w:eastAsia="宋体" w:cs="宋体"/>
          <w:sz w:val="24"/>
          <w:szCs w:val="24"/>
          <w:lang w:eastAsia="zh-CN"/>
        </w:rPr>
        <w:t>）</w:t>
      </w:r>
    </w:p>
    <w:p>
      <w:pPr>
        <w:spacing w:line="24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9.在盛逸园小区安装果皮箱</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10个</w:t>
      </w:r>
      <w:r>
        <w:rPr>
          <w:rFonts w:hint="eastAsia" w:ascii="宋体" w:hAnsi="宋体" w:eastAsia="宋体" w:cs="宋体"/>
          <w:sz w:val="24"/>
          <w:szCs w:val="24"/>
          <w:lang w:eastAsia="zh-CN"/>
        </w:rPr>
        <w:t>）</w:t>
      </w:r>
    </w:p>
    <w:p>
      <w:pPr>
        <w:spacing w:line="24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10.荣居园木质花坛改造</w:t>
      </w:r>
    </w:p>
    <w:p>
      <w:pPr>
        <w:spacing w:line="240" w:lineRule="auto"/>
        <w:ind w:firstLine="480" w:firstLineChars="200"/>
        <w:jc w:val="left"/>
        <w:rPr>
          <w:rFonts w:hint="default" w:ascii="宋体" w:hAnsi="宋体" w:eastAsia="宋体" w:cs="宋体"/>
          <w:sz w:val="24"/>
          <w:szCs w:val="24"/>
          <w:lang w:val="en-US" w:eastAsia="zh-CN"/>
        </w:rPr>
      </w:pPr>
      <w:r>
        <w:rPr>
          <w:rFonts w:hint="eastAsia" w:ascii="宋体" w:hAnsi="宋体" w:eastAsia="宋体" w:cs="宋体"/>
          <w:sz w:val="24"/>
          <w:szCs w:val="24"/>
        </w:rPr>
        <w:t>11.</w:t>
      </w:r>
      <w:r>
        <w:rPr>
          <w:rFonts w:hint="eastAsia" w:ascii="宋体" w:hAnsi="宋体" w:eastAsia="宋体" w:cs="宋体"/>
          <w:sz w:val="24"/>
          <w:szCs w:val="24"/>
          <w:lang w:eastAsia="zh-CN"/>
        </w:rPr>
        <w:t>平整地块约</w:t>
      </w:r>
      <w:r>
        <w:rPr>
          <w:rFonts w:hint="eastAsia" w:ascii="宋体" w:hAnsi="宋体" w:eastAsia="宋体" w:cs="宋体"/>
          <w:sz w:val="24"/>
          <w:szCs w:val="24"/>
          <w:lang w:val="en-US" w:eastAsia="zh-CN"/>
        </w:rPr>
        <w:t>1000㎡（以实际面积为主）</w:t>
      </w:r>
    </w:p>
    <w:p>
      <w:pPr>
        <w:spacing w:line="240" w:lineRule="auto"/>
        <w:jc w:val="left"/>
        <w:rPr>
          <w:rFonts w:hint="eastAsia" w:ascii="宋体" w:hAnsi="宋体" w:eastAsia="宋体" w:cs="宋体"/>
          <w:sz w:val="24"/>
          <w:szCs w:val="24"/>
        </w:rPr>
      </w:pPr>
      <w:r>
        <w:rPr>
          <w:rFonts w:hint="eastAsia" w:ascii="宋体" w:hAnsi="宋体" w:eastAsia="宋体" w:cs="宋体"/>
          <w:b/>
          <w:sz w:val="24"/>
          <w:szCs w:val="24"/>
        </w:rPr>
        <w:t>二、绿化提升改造</w:t>
      </w:r>
    </w:p>
    <w:p>
      <w:pPr>
        <w:spacing w:line="24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1.绿化隔离栏（嘉安路绿化带、青锦泽逸门口绿化带、福泰安康门口绿化带、荣乐园绿化带、荣业园绿化带、荣居园绿化带）</w:t>
      </w:r>
    </w:p>
    <w:p>
      <w:pPr>
        <w:spacing w:line="24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2.隔离石球（在荣乐、荣业等绿化带）</w:t>
      </w:r>
    </w:p>
    <w:p>
      <w:pPr>
        <w:spacing w:line="24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3.小区外绿化带（嘉安路绿化带、荣乐、荣业绿化带）道路石材整修</w:t>
      </w:r>
    </w:p>
    <w:p>
      <w:pPr>
        <w:spacing w:line="24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4.小区前绿化带（青锦泽逸小区门前、盛福和盛康门前、荣居荣乐荣业门前）补种草皮</w:t>
      </w:r>
    </w:p>
    <w:p>
      <w:pPr>
        <w:spacing w:line="24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5.盛安园外（新景道）绿化带硬化</w:t>
      </w:r>
    </w:p>
    <w:p>
      <w:pPr>
        <w:spacing w:line="24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6.小区内绿化带（荣畅园内、盛逸园内）石材整修</w:t>
      </w:r>
    </w:p>
    <w:p>
      <w:pPr>
        <w:spacing w:line="24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7.隔离石球（在荣畅、盛逸园）</w:t>
      </w:r>
    </w:p>
    <w:p>
      <w:pPr>
        <w:numPr>
          <w:ilvl w:val="0"/>
          <w:numId w:val="0"/>
        </w:numPr>
        <w:rPr>
          <w:rFonts w:hint="eastAsia" w:eastAsia="宋体" w:asciiTheme="majorEastAsia" w:hAnsiTheme="majorEastAsia" w:cstheme="majorEastAsia"/>
          <w:b/>
          <w:bCs/>
          <w:sz w:val="28"/>
          <w:szCs w:val="28"/>
          <w:lang w:val="en-US" w:eastAsia="zh-CN"/>
        </w:rPr>
      </w:pPr>
      <w:r>
        <w:rPr>
          <w:rFonts w:hint="eastAsia" w:ascii="宋体" w:hAnsi="宋体" w:eastAsia="宋体" w:cs="宋体"/>
          <w:b/>
          <w:bCs/>
          <w:color w:val="auto"/>
          <w:sz w:val="28"/>
          <w:szCs w:val="28"/>
        </w:rPr>
        <w:t xml:space="preserve"> </w:t>
      </w:r>
      <w:r>
        <w:rPr>
          <w:rFonts w:hint="eastAsia" w:ascii="宋体" w:hAnsi="宋体" w:eastAsia="宋体" w:cs="宋体"/>
          <w:b/>
          <w:bCs/>
          <w:color w:val="auto"/>
          <w:sz w:val="28"/>
          <w:szCs w:val="28"/>
          <w:lang w:eastAsia="zh-CN"/>
        </w:rPr>
        <w:t>以上项目以实际面积为主。</w:t>
      </w:r>
    </w:p>
    <w:p>
      <w:pPr>
        <w:numPr>
          <w:ilvl w:val="0"/>
          <w:numId w:val="0"/>
        </w:numPr>
        <w:jc w:val="both"/>
        <w:rPr>
          <w:rFonts w:hint="default"/>
          <w:sz w:val="18"/>
          <w:szCs w:val="18"/>
          <w:lang w:val="en-US" w:eastAsia="zh-CN"/>
        </w:rPr>
      </w:pPr>
    </w:p>
    <w:p>
      <w:pPr>
        <w:pStyle w:val="23"/>
        <w:spacing w:line="480" w:lineRule="auto"/>
        <w:jc w:val="both"/>
        <w:rPr>
          <w:rFonts w:ascii="宋体" w:hAnsi="宋体" w:eastAsia="宋体" w:cs="宋体"/>
          <w:color w:val="auto"/>
        </w:rPr>
      </w:pPr>
      <w:r>
        <w:rPr>
          <w:rFonts w:hint="eastAsia" w:ascii="宋体" w:hAnsi="宋体" w:eastAsia="宋体" w:cs="宋体"/>
          <w:color w:val="auto"/>
        </w:rPr>
        <w:t xml:space="preserve">                     </w:t>
      </w:r>
    </w:p>
    <w:p>
      <w:pPr>
        <w:pStyle w:val="23"/>
        <w:spacing w:line="360" w:lineRule="auto"/>
        <w:jc w:val="both"/>
        <w:rPr>
          <w:rFonts w:ascii="宋体" w:hAnsi="宋体" w:eastAsia="宋体" w:cs="宋体"/>
          <w:color w:val="auto"/>
        </w:rPr>
      </w:pPr>
      <w:r>
        <w:rPr>
          <w:rFonts w:hint="eastAsia" w:ascii="宋体" w:hAnsi="宋体" w:eastAsia="宋体" w:cs="宋体"/>
          <w:color w:val="auto"/>
        </w:rPr>
        <w:t xml:space="preserve">                                              </w:t>
      </w:r>
    </w:p>
    <w:p>
      <w:pPr>
        <w:pStyle w:val="23"/>
        <w:spacing w:line="360" w:lineRule="auto"/>
        <w:jc w:val="center"/>
        <w:rPr>
          <w:rFonts w:ascii="宋体" w:hAnsi="宋体" w:eastAsia="宋体" w:cs="宋体"/>
          <w:b/>
          <w:bCs/>
          <w:kern w:val="2"/>
          <w:sz w:val="32"/>
          <w:szCs w:val="32"/>
        </w:rPr>
      </w:pPr>
      <w:r>
        <w:rPr>
          <w:rFonts w:hint="eastAsia" w:ascii="宋体" w:hAnsi="宋体" w:eastAsia="宋体" w:cs="宋体"/>
          <w:b/>
          <w:bCs/>
          <w:kern w:val="2"/>
          <w:sz w:val="32"/>
          <w:szCs w:val="32"/>
        </w:rPr>
        <w:t>第四部分  投标须知</w:t>
      </w:r>
    </w:p>
    <w:p>
      <w:pPr>
        <w:pStyle w:val="23"/>
        <w:spacing w:line="360" w:lineRule="auto"/>
        <w:jc w:val="both"/>
        <w:outlineLvl w:val="1"/>
        <w:rPr>
          <w:rFonts w:hint="eastAsia" w:ascii="宋体" w:hAnsi="宋体" w:eastAsia="宋体" w:cs="宋体"/>
          <w:b/>
          <w:color w:val="auto"/>
        </w:rPr>
      </w:pPr>
      <w:r>
        <w:rPr>
          <w:rFonts w:hint="eastAsia" w:ascii="宋体" w:hAnsi="宋体" w:eastAsia="宋体" w:cs="宋体"/>
          <w:b/>
          <w:color w:val="auto"/>
        </w:rPr>
        <w:t>一、总则</w:t>
      </w:r>
    </w:p>
    <w:p>
      <w:pPr>
        <w:pStyle w:val="23"/>
        <w:snapToGrid w:val="0"/>
        <w:spacing w:line="360" w:lineRule="auto"/>
        <w:ind w:firstLine="484" w:firstLineChars="202"/>
        <w:outlineLvl w:val="2"/>
        <w:rPr>
          <w:rFonts w:hint="eastAsia" w:ascii="宋体" w:hAnsi="宋体" w:eastAsia="宋体" w:cs="宋体"/>
          <w:color w:val="auto"/>
        </w:rPr>
      </w:pPr>
      <w:r>
        <w:rPr>
          <w:rFonts w:hint="eastAsia" w:ascii="宋体" w:hAnsi="宋体" w:eastAsia="宋体" w:cs="宋体"/>
          <w:color w:val="auto"/>
        </w:rPr>
        <w:t>(一)适用范围</w:t>
      </w:r>
    </w:p>
    <w:p>
      <w:pPr>
        <w:pStyle w:val="23"/>
        <w:snapToGrid w:val="0"/>
        <w:spacing w:line="360" w:lineRule="auto"/>
        <w:ind w:firstLine="484" w:firstLineChars="202"/>
        <w:rPr>
          <w:rFonts w:hint="eastAsia" w:ascii="宋体" w:hAnsi="宋体" w:eastAsia="宋体" w:cs="宋体"/>
          <w:color w:val="auto"/>
        </w:rPr>
      </w:pPr>
      <w:r>
        <w:rPr>
          <w:rFonts w:hint="eastAsia" w:ascii="宋体" w:hAnsi="宋体" w:eastAsia="宋体" w:cs="宋体"/>
          <w:color w:val="auto"/>
        </w:rPr>
        <w:t>本竞争性磋商文件仅适用于本磋商邀请中所叙述项目的服务性磋商。</w:t>
      </w:r>
    </w:p>
    <w:p>
      <w:pPr>
        <w:pStyle w:val="23"/>
        <w:snapToGrid w:val="0"/>
        <w:spacing w:line="360" w:lineRule="auto"/>
        <w:ind w:firstLine="480" w:firstLineChars="200"/>
        <w:outlineLvl w:val="2"/>
        <w:rPr>
          <w:rFonts w:hint="eastAsia" w:ascii="宋体" w:hAnsi="宋体" w:eastAsia="宋体" w:cs="宋体"/>
          <w:color w:val="auto"/>
        </w:rPr>
      </w:pPr>
      <w:r>
        <w:rPr>
          <w:rFonts w:hint="eastAsia" w:ascii="宋体" w:hAnsi="宋体" w:eastAsia="宋体" w:cs="宋体"/>
          <w:color w:val="auto"/>
        </w:rPr>
        <w:t>(二)定义</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1.“采购人”系指本次磋商活动的采购单位。“采购代理机构”系指组织本次磋商活动的机构，即“天津同力源工程咨询有限公司”。</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2.“投标人”系指向采购代理机构提交响应文件的投标人。</w:t>
      </w:r>
    </w:p>
    <w:p>
      <w:pPr>
        <w:pStyle w:val="23"/>
        <w:snapToGrid w:val="0"/>
        <w:spacing w:line="360" w:lineRule="auto"/>
        <w:ind w:firstLine="480" w:firstLineChars="200"/>
        <w:outlineLvl w:val="2"/>
        <w:rPr>
          <w:rFonts w:hint="eastAsia" w:ascii="宋体" w:hAnsi="宋体" w:eastAsia="宋体" w:cs="宋体"/>
          <w:color w:val="auto"/>
        </w:rPr>
      </w:pPr>
      <w:r>
        <w:rPr>
          <w:rFonts w:hint="eastAsia" w:ascii="宋体" w:hAnsi="宋体" w:eastAsia="宋体" w:cs="宋体"/>
          <w:color w:val="auto"/>
        </w:rPr>
        <w:t>(三)磋商费用</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无论磋商过程中的做法和结果如何，投标人自行承担所有与参加磋商有关的全部费用。</w:t>
      </w:r>
      <w:bookmarkStart w:id="76" w:name="_Toc495589134"/>
      <w:bookmarkStart w:id="77" w:name="_Toc498441842"/>
    </w:p>
    <w:p>
      <w:pPr>
        <w:pStyle w:val="23"/>
        <w:spacing w:line="360" w:lineRule="auto"/>
        <w:jc w:val="both"/>
        <w:outlineLvl w:val="1"/>
        <w:rPr>
          <w:rFonts w:hint="eastAsia" w:ascii="宋体" w:hAnsi="宋体" w:eastAsia="宋体" w:cs="宋体"/>
          <w:b/>
          <w:color w:val="auto"/>
        </w:rPr>
      </w:pPr>
      <w:r>
        <w:rPr>
          <w:rFonts w:hint="eastAsia" w:ascii="宋体" w:hAnsi="宋体" w:eastAsia="宋体" w:cs="宋体"/>
          <w:b/>
          <w:color w:val="auto"/>
        </w:rPr>
        <w:t>二、竞争性磋商文件说明</w:t>
      </w:r>
      <w:bookmarkEnd w:id="76"/>
      <w:bookmarkEnd w:id="77"/>
    </w:p>
    <w:p>
      <w:pPr>
        <w:pStyle w:val="23"/>
        <w:snapToGrid w:val="0"/>
        <w:spacing w:line="360" w:lineRule="auto"/>
        <w:ind w:firstLine="480" w:firstLineChars="200"/>
        <w:outlineLvl w:val="2"/>
        <w:rPr>
          <w:rFonts w:hint="eastAsia" w:ascii="宋体" w:hAnsi="宋体" w:eastAsia="宋体" w:cs="宋体"/>
          <w:color w:val="auto"/>
        </w:rPr>
      </w:pPr>
      <w:r>
        <w:rPr>
          <w:rFonts w:hint="eastAsia" w:ascii="宋体" w:hAnsi="宋体" w:eastAsia="宋体" w:cs="宋体"/>
          <w:color w:val="auto"/>
        </w:rPr>
        <w:t>(一)竞争性磋商文件的构成：</w:t>
      </w:r>
    </w:p>
    <w:p>
      <w:pPr>
        <w:pStyle w:val="23"/>
        <w:snapToGrid w:val="0"/>
        <w:spacing w:line="360" w:lineRule="auto"/>
        <w:ind w:firstLine="360" w:firstLineChars="150"/>
        <w:rPr>
          <w:rFonts w:hint="eastAsia" w:ascii="宋体" w:hAnsi="宋体" w:eastAsia="宋体" w:cs="宋体"/>
          <w:color w:val="auto"/>
        </w:rPr>
      </w:pPr>
      <w:r>
        <w:rPr>
          <w:rFonts w:hint="eastAsia" w:ascii="宋体" w:hAnsi="宋体" w:eastAsia="宋体" w:cs="宋体"/>
          <w:color w:val="auto"/>
        </w:rPr>
        <w:t>1.竞争性磋商文件包括投标人资格条件、采购邀请、采购方式、采购预算、采购需求、政府采购政策要求、评审程序、评审方法、评审标准、价格构成或者报价要求、响应文件编制要求、保证金交纳数额和形式以及不予退还保证金的情形、磋商过程中可能实质性变动的内容、响应文件提交的截止时间、开启时间及地点以及合同草案条款等。竞争性磋商文件由下述部分组成：</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(1)磋商邀请函；</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(2)磋商项目要求；</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(3)项目需求书</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(4)投标人须知；</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(5)合同草案；</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(6)响应文件格式。</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2.竞争性磋商文件应当以中文编印。</w:t>
      </w:r>
    </w:p>
    <w:p>
      <w:pPr>
        <w:pStyle w:val="23"/>
        <w:snapToGrid w:val="0"/>
        <w:spacing w:line="360" w:lineRule="auto"/>
        <w:ind w:firstLine="480" w:firstLineChars="200"/>
        <w:outlineLvl w:val="2"/>
        <w:rPr>
          <w:rFonts w:hint="eastAsia" w:ascii="宋体" w:hAnsi="宋体" w:eastAsia="宋体" w:cs="宋体"/>
          <w:color w:val="auto"/>
        </w:rPr>
      </w:pPr>
      <w:r>
        <w:rPr>
          <w:rFonts w:hint="eastAsia" w:ascii="宋体" w:hAnsi="宋体" w:eastAsia="宋体" w:cs="宋体"/>
          <w:color w:val="auto"/>
        </w:rPr>
        <w:t>(二)竞争性磋商文件的澄清、修改</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投标人；不足5日的，采购人、采购代理机构应当顺延提交首次响应文件截止时间。</w:t>
      </w:r>
      <w:bookmarkStart w:id="78" w:name="_Toc495589135"/>
      <w:bookmarkStart w:id="79" w:name="_Toc498441843"/>
    </w:p>
    <w:p>
      <w:pPr>
        <w:pStyle w:val="23"/>
        <w:spacing w:line="360" w:lineRule="auto"/>
        <w:jc w:val="both"/>
        <w:outlineLvl w:val="1"/>
        <w:rPr>
          <w:rFonts w:hint="eastAsia" w:ascii="宋体" w:hAnsi="宋体" w:eastAsia="宋体" w:cs="宋体"/>
          <w:b/>
          <w:color w:val="auto"/>
        </w:rPr>
      </w:pPr>
      <w:r>
        <w:rPr>
          <w:rFonts w:hint="eastAsia" w:ascii="宋体" w:hAnsi="宋体" w:eastAsia="宋体" w:cs="宋体"/>
          <w:b/>
          <w:color w:val="auto"/>
        </w:rPr>
        <w:t>三、响应文件编写要求</w:t>
      </w:r>
      <w:bookmarkEnd w:id="78"/>
      <w:bookmarkEnd w:id="79"/>
    </w:p>
    <w:p>
      <w:pPr>
        <w:pStyle w:val="23"/>
        <w:snapToGrid w:val="0"/>
        <w:spacing w:line="360" w:lineRule="auto"/>
        <w:ind w:firstLine="480" w:firstLineChars="200"/>
        <w:outlineLvl w:val="2"/>
        <w:rPr>
          <w:rFonts w:hint="eastAsia" w:ascii="宋体" w:hAnsi="宋体" w:eastAsia="宋体" w:cs="宋体"/>
          <w:color w:val="auto"/>
        </w:rPr>
      </w:pPr>
      <w:r>
        <w:rPr>
          <w:rFonts w:hint="eastAsia" w:ascii="宋体" w:hAnsi="宋体" w:eastAsia="宋体" w:cs="宋体"/>
          <w:color w:val="auto"/>
        </w:rPr>
        <w:t>(一)总体要求：</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投标人应当按照磋商文件的要求编制响应文件，并对其提交的响应文件的真实性、合法性承担法律责任。</w:t>
      </w:r>
    </w:p>
    <w:p>
      <w:pPr>
        <w:pStyle w:val="23"/>
        <w:snapToGrid w:val="0"/>
        <w:spacing w:line="360" w:lineRule="auto"/>
        <w:ind w:firstLine="480" w:firstLineChars="200"/>
        <w:outlineLvl w:val="2"/>
        <w:rPr>
          <w:rFonts w:hint="eastAsia" w:ascii="宋体" w:hAnsi="宋体" w:eastAsia="宋体" w:cs="宋体"/>
          <w:color w:val="auto"/>
        </w:rPr>
      </w:pPr>
      <w:r>
        <w:rPr>
          <w:rFonts w:hint="eastAsia" w:ascii="宋体" w:hAnsi="宋体" w:eastAsia="宋体" w:cs="宋体"/>
          <w:color w:val="auto"/>
        </w:rPr>
        <w:t>(二)语言及计量单位：</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1.响应文件及投标人和采购人、采购代理机构就磋商交换的文件和来往信件，应以中文书写，辅助材料及证明材料以中文说明为准。</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2.除在竞争性磋商文件的技术规格中另有规定外，响应文件所使用的计量单位均应使用中华人民共和国法定计量单位。</w:t>
      </w:r>
    </w:p>
    <w:p>
      <w:pPr>
        <w:pStyle w:val="23"/>
        <w:snapToGrid w:val="0"/>
        <w:spacing w:line="360" w:lineRule="auto"/>
        <w:ind w:firstLine="480" w:firstLineChars="200"/>
        <w:outlineLvl w:val="2"/>
        <w:rPr>
          <w:rFonts w:hint="eastAsia" w:ascii="宋体" w:hAnsi="宋体" w:eastAsia="宋体" w:cs="宋体"/>
          <w:color w:val="auto"/>
        </w:rPr>
      </w:pPr>
      <w:r>
        <w:rPr>
          <w:rFonts w:hint="eastAsia" w:ascii="宋体" w:hAnsi="宋体" w:eastAsia="宋体" w:cs="宋体"/>
          <w:color w:val="auto"/>
        </w:rPr>
        <w:t>(三)响应文件的组成：</w:t>
      </w:r>
    </w:p>
    <w:p>
      <w:pPr>
        <w:pStyle w:val="23"/>
        <w:snapToGrid w:val="0"/>
        <w:spacing w:line="360" w:lineRule="auto"/>
        <w:ind w:firstLine="480" w:firstLineChars="200"/>
        <w:jc w:val="both"/>
        <w:rPr>
          <w:rFonts w:hint="eastAsia" w:ascii="宋体" w:hAnsi="宋体" w:eastAsia="宋体" w:cs="宋体"/>
          <w:color w:val="auto"/>
        </w:rPr>
      </w:pPr>
      <w:r>
        <w:rPr>
          <w:rFonts w:hint="eastAsia" w:ascii="宋体" w:hAnsi="宋体" w:eastAsia="宋体" w:cs="宋体"/>
          <w:color w:val="auto"/>
        </w:rPr>
        <w:t>1.投标人应当按竞争性磋商文件中提供的响应文件格式填写(第六部分——响应文件格式)。</w:t>
      </w:r>
    </w:p>
    <w:p>
      <w:pPr>
        <w:pStyle w:val="23"/>
        <w:snapToGrid w:val="0"/>
        <w:spacing w:line="360" w:lineRule="auto"/>
        <w:ind w:firstLine="480" w:firstLineChars="200"/>
        <w:jc w:val="both"/>
        <w:rPr>
          <w:rFonts w:hint="eastAsia" w:ascii="宋体" w:hAnsi="宋体" w:eastAsia="宋体" w:cs="宋体"/>
          <w:color w:val="auto"/>
        </w:rPr>
      </w:pPr>
      <w:r>
        <w:rPr>
          <w:rFonts w:hint="eastAsia" w:ascii="宋体" w:hAnsi="宋体" w:eastAsia="宋体" w:cs="宋体"/>
          <w:color w:val="auto"/>
        </w:rPr>
        <w:t>2. 投标人应当将响应文件装订成册，并自行编制响应文件资料目录。</w:t>
      </w:r>
    </w:p>
    <w:p>
      <w:pPr>
        <w:pStyle w:val="23"/>
        <w:snapToGrid w:val="0"/>
        <w:spacing w:line="360" w:lineRule="auto"/>
        <w:ind w:firstLine="480" w:firstLineChars="200"/>
        <w:jc w:val="both"/>
        <w:outlineLvl w:val="2"/>
        <w:rPr>
          <w:rFonts w:hint="eastAsia" w:ascii="宋体" w:hAnsi="宋体" w:eastAsia="宋体" w:cs="宋体"/>
          <w:color w:val="auto"/>
        </w:rPr>
      </w:pPr>
      <w:r>
        <w:rPr>
          <w:rFonts w:hint="eastAsia" w:ascii="宋体" w:hAnsi="宋体" w:eastAsia="宋体" w:cs="宋体"/>
          <w:color w:val="auto"/>
        </w:rPr>
        <w:t>(四)磋商有效期</w:t>
      </w:r>
    </w:p>
    <w:p>
      <w:pPr>
        <w:pStyle w:val="23"/>
        <w:snapToGrid w:val="0"/>
        <w:spacing w:line="360" w:lineRule="auto"/>
        <w:ind w:firstLine="480" w:firstLineChars="200"/>
        <w:jc w:val="both"/>
        <w:rPr>
          <w:rFonts w:hint="eastAsia" w:ascii="宋体" w:hAnsi="宋体" w:eastAsia="宋体" w:cs="宋体"/>
          <w:color w:val="auto"/>
        </w:rPr>
      </w:pPr>
      <w:r>
        <w:rPr>
          <w:rFonts w:hint="eastAsia" w:ascii="宋体" w:hAnsi="宋体" w:eastAsia="宋体" w:cs="宋体"/>
          <w:color w:val="auto"/>
        </w:rPr>
        <w:t>1.磋商有效期为响应文件开启之日后60天。磋商书中规定的有效期短于60天的，视为无效响应。</w:t>
      </w:r>
    </w:p>
    <w:p>
      <w:pPr>
        <w:pStyle w:val="23"/>
        <w:snapToGrid w:val="0"/>
        <w:spacing w:line="360" w:lineRule="auto"/>
        <w:ind w:firstLine="488" w:firstLineChars="200"/>
        <w:jc w:val="both"/>
        <w:rPr>
          <w:rFonts w:hint="eastAsia" w:ascii="宋体" w:hAnsi="宋体" w:eastAsia="宋体" w:cs="宋体"/>
          <w:color w:val="auto"/>
          <w:spacing w:val="2"/>
        </w:rPr>
      </w:pPr>
      <w:r>
        <w:rPr>
          <w:rFonts w:hint="eastAsia" w:ascii="宋体" w:hAnsi="宋体" w:eastAsia="宋体" w:cs="宋体"/>
          <w:color w:val="auto"/>
          <w:spacing w:val="2"/>
        </w:rPr>
        <w:t>2.特殊情况下，采购人、采购代理机构可于磋商有效期满之前，要向投标人提出延长磋商有效期的要求。答复应以书面形式进行。对于同意该要求的投标人，既不要求也不允许其修改响应文件，但将要求其相应延长磋商保证金的有效期。</w:t>
      </w:r>
    </w:p>
    <w:p>
      <w:pPr>
        <w:pStyle w:val="23"/>
        <w:snapToGrid w:val="0"/>
        <w:spacing w:line="360" w:lineRule="auto"/>
        <w:ind w:firstLine="480" w:firstLineChars="200"/>
        <w:outlineLvl w:val="2"/>
        <w:rPr>
          <w:rFonts w:hint="eastAsia" w:ascii="宋体" w:hAnsi="宋体" w:eastAsia="宋体" w:cs="宋体"/>
          <w:color w:val="auto"/>
          <w:highlight w:val="none"/>
        </w:rPr>
      </w:pPr>
      <w:r>
        <w:rPr>
          <w:rFonts w:hint="eastAsia" w:ascii="宋体" w:hAnsi="宋体" w:eastAsia="宋体" w:cs="宋体"/>
          <w:color w:val="auto"/>
          <w:highlight w:val="none"/>
        </w:rPr>
        <w:t>(五)响应文件的递交</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1.响应文件的密封和标记</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(1)投标人应当将响应文件正本和副本分别装订成册，并分别用信封密封完好，注明项目编号及正本或副本。第一阶段响应文件一正三副，第二阶段响应文件一正三副(正本、副本须逐页加盖单位公章并须加盖骑缝章)，电子版文件与正本一同密封。</w:t>
      </w: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见下图</w:t>
      </w:r>
    </w:p>
    <w:p>
      <w:pPr>
        <w:spacing w:line="560" w:lineRule="exact"/>
        <w:ind w:firstLine="480"/>
        <w:rPr>
          <w:rFonts w:hint="eastAsia" w:ascii="宋体" w:hAnsi="宋体" w:eastAsia="宋体" w:cs="宋体"/>
          <w:sz w:val="24"/>
          <w:szCs w:val="24"/>
        </w:rPr>
      </w:pPr>
    </w:p>
    <w:p>
      <w:pPr>
        <w:spacing w:line="560" w:lineRule="exact"/>
        <w:ind w:firstLine="480"/>
        <w:rPr>
          <w:rFonts w:ascii="宋体" w:hAnsi="宋体" w:cs="宋体"/>
        </w:rPr>
      </w:pPr>
      <w:r>
        <w:rPr>
          <w:rFonts w:ascii="Times New Roman" w:hAnsi="Times New Roman" w:cs="Times New Roman"/>
        </w:rPr>
        <w:pict>
          <v:shape id="_x0000_s5124" o:spid="_x0000_s5124" o:spt="202" type="#_x0000_t202" style="position:absolute;left:0pt;margin-left:262.85pt;margin-top:10.65pt;height:95.75pt;width:148.5pt;z-index:1024;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path/>
            <v:fill focussize="0,0"/>
            <v:stroke joinstyle="miter"/>
            <v:imagedata o:title=""/>
            <o:lock v:ext="edit"/>
            <v:textbox>
              <w:txbxContent>
                <w:p>
                  <w:pPr>
                    <w:spacing w:line="700" w:lineRule="exact"/>
                    <w:jc w:val="center"/>
                    <w:rPr>
                      <w:sz w:val="28"/>
                    </w:rPr>
                  </w:pPr>
                  <w:r>
                    <w:rPr>
                      <w:rFonts w:hint="eastAsia"/>
                      <w:sz w:val="28"/>
                    </w:rPr>
                    <w:t>资质文件、技术</w:t>
                  </w:r>
                </w:p>
                <w:p>
                  <w:pPr>
                    <w:spacing w:line="700" w:lineRule="exact"/>
                    <w:jc w:val="center"/>
                    <w:rPr>
                      <w:sz w:val="32"/>
                    </w:rPr>
                  </w:pPr>
                  <w:r>
                    <w:rPr>
                      <w:rFonts w:hint="eastAsia"/>
                      <w:sz w:val="28"/>
                    </w:rPr>
                    <w:t>副本三份</w:t>
                  </w:r>
                </w:p>
                <w:p>
                  <w:pPr>
                    <w:pStyle w:val="6"/>
                  </w:pPr>
                </w:p>
              </w:txbxContent>
            </v:textbox>
          </v:shape>
        </w:pict>
      </w:r>
      <w:r>
        <w:rPr>
          <w:rFonts w:ascii="Times New Roman" w:hAnsi="Times New Roman" w:cs="Times New Roman"/>
        </w:rPr>
        <w:pict>
          <v:shape id="文本框 2" o:spid="_x0000_s5123" o:spt="202" type="#_x0000_t202" style="position:absolute;left:0pt;margin-left:61.1pt;margin-top:10.65pt;height:95.75pt;width:151.5pt;z-index:1024;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path/>
            <v:fill focussize="0,0"/>
            <v:stroke joinstyle="miter"/>
            <v:imagedata o:title=""/>
            <o:lock v:ext="edit"/>
            <v:textbox>
              <w:txbxContent>
                <w:p>
                  <w:pPr>
                    <w:spacing w:line="700" w:lineRule="exact"/>
                    <w:jc w:val="center"/>
                    <w:rPr>
                      <w:sz w:val="28"/>
                    </w:rPr>
                  </w:pPr>
                  <w:r>
                    <w:rPr>
                      <w:rFonts w:hint="eastAsia"/>
                      <w:sz w:val="28"/>
                    </w:rPr>
                    <w:t>资质文件、技术</w:t>
                  </w:r>
                </w:p>
                <w:p>
                  <w:pPr>
                    <w:spacing w:line="700" w:lineRule="exact"/>
                    <w:jc w:val="center"/>
                    <w:rPr>
                      <w:sz w:val="32"/>
                    </w:rPr>
                  </w:pPr>
                  <w:r>
                    <w:rPr>
                      <w:rFonts w:hint="eastAsia"/>
                      <w:sz w:val="28"/>
                    </w:rPr>
                    <w:t>正本一份+电子版</w:t>
                  </w:r>
                </w:p>
              </w:txbxContent>
            </v:textbox>
          </v:shape>
        </w:pict>
      </w:r>
      <w:r>
        <w:rPr>
          <w:rFonts w:hint="eastAsia" w:ascii="宋体" w:hAnsi="宋体" w:cs="宋体"/>
        </w:rPr>
        <w:t xml:space="preserve">  </w:t>
      </w:r>
    </w:p>
    <w:p>
      <w:pPr>
        <w:spacing w:line="560" w:lineRule="exact"/>
        <w:ind w:firstLine="480"/>
        <w:rPr>
          <w:rFonts w:ascii="宋体" w:hAnsi="宋体" w:cs="宋体"/>
        </w:rPr>
      </w:pPr>
    </w:p>
    <w:p>
      <w:pPr>
        <w:spacing w:line="560" w:lineRule="exact"/>
        <w:ind w:firstLine="480"/>
        <w:rPr>
          <w:rFonts w:ascii="宋体" w:hAnsi="宋体" w:cs="宋体"/>
        </w:rPr>
      </w:pPr>
    </w:p>
    <w:p>
      <w:pPr>
        <w:spacing w:line="560" w:lineRule="exact"/>
        <w:ind w:firstLine="480"/>
        <w:rPr>
          <w:rFonts w:ascii="宋体" w:hAnsi="宋体" w:cs="宋体"/>
        </w:rPr>
      </w:pPr>
      <w:r>
        <w:rPr>
          <w:rFonts w:hint="eastAsia" w:ascii="宋体" w:hAnsi="宋体" w:cs="宋体"/>
        </w:rPr>
        <w:t xml:space="preserve">    </w:t>
      </w:r>
      <w:r>
        <w:rPr>
          <w:rFonts w:ascii="Times New Roman" w:hAnsi="Times New Roman" w:cs="Times New Roman"/>
        </w:rPr>
        <w:pict>
          <v:shape id="_x0000_s5126" o:spid="_x0000_s5126" o:spt="202" type="#_x0000_t202" style="position:absolute;left:0pt;margin-left:262.85pt;margin-top:2.15pt;height:95.75pt;width:148.5pt;z-index:1024;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path/>
            <v:fill focussize="0,0"/>
            <v:stroke joinstyle="miter"/>
            <v:imagedata o:title=""/>
            <o:lock v:ext="edit"/>
            <v:textbox>
              <w:txbxContent>
                <w:p>
                  <w:pPr>
                    <w:spacing w:line="700" w:lineRule="exact"/>
                    <w:jc w:val="center"/>
                    <w:rPr>
                      <w:sz w:val="28"/>
                    </w:rPr>
                  </w:pPr>
                  <w:r>
                    <w:rPr>
                      <w:rFonts w:hint="eastAsia"/>
                      <w:sz w:val="28"/>
                    </w:rPr>
                    <w:t>商务文件</w:t>
                  </w:r>
                </w:p>
                <w:p>
                  <w:pPr>
                    <w:spacing w:line="700" w:lineRule="exact"/>
                    <w:jc w:val="center"/>
                    <w:rPr>
                      <w:sz w:val="32"/>
                    </w:rPr>
                  </w:pPr>
                  <w:r>
                    <w:rPr>
                      <w:rFonts w:hint="eastAsia"/>
                      <w:sz w:val="28"/>
                    </w:rPr>
                    <w:t>副本三份</w:t>
                  </w:r>
                </w:p>
              </w:txbxContent>
            </v:textbox>
          </v:shape>
        </w:pict>
      </w:r>
      <w:r>
        <w:rPr>
          <w:rFonts w:ascii="Times New Roman" w:hAnsi="Times New Roman" w:cs="Times New Roman"/>
        </w:rPr>
        <w:pict>
          <v:shape id="_x0000_s5125" o:spid="_x0000_s5125" o:spt="202" type="#_x0000_t202" style="position:absolute;left:0pt;margin-left:61.1pt;margin-top:2.15pt;height:95.75pt;width:151.5pt;z-index:1024;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path/>
            <v:fill focussize="0,0"/>
            <v:stroke joinstyle="miter"/>
            <v:imagedata o:title=""/>
            <o:lock v:ext="edit"/>
            <v:textbox>
              <w:txbxContent>
                <w:p>
                  <w:pPr>
                    <w:spacing w:line="700" w:lineRule="exact"/>
                    <w:jc w:val="center"/>
                    <w:rPr>
                      <w:sz w:val="28"/>
                    </w:rPr>
                  </w:pPr>
                  <w:r>
                    <w:rPr>
                      <w:rFonts w:hint="eastAsia"/>
                      <w:sz w:val="28"/>
                    </w:rPr>
                    <w:t>商务文件</w:t>
                  </w:r>
                </w:p>
                <w:p>
                  <w:pPr>
                    <w:spacing w:line="700" w:lineRule="exact"/>
                    <w:jc w:val="center"/>
                    <w:rPr>
                      <w:sz w:val="32"/>
                    </w:rPr>
                  </w:pPr>
                  <w:r>
                    <w:rPr>
                      <w:rFonts w:hint="eastAsia"/>
                      <w:sz w:val="28"/>
                    </w:rPr>
                    <w:t>正本一份+电子版</w:t>
                  </w:r>
                </w:p>
              </w:txbxContent>
            </v:textbox>
          </v:shape>
        </w:pict>
      </w:r>
    </w:p>
    <w:p>
      <w:pPr>
        <w:spacing w:line="560" w:lineRule="exact"/>
        <w:rPr>
          <w:rFonts w:ascii="宋体" w:hAnsi="宋体" w:cs="宋体"/>
        </w:rPr>
      </w:pPr>
    </w:p>
    <w:p>
      <w:pPr>
        <w:spacing w:line="560" w:lineRule="exact"/>
        <w:rPr>
          <w:rFonts w:hint="eastAsia" w:asciiTheme="minorEastAsia" w:hAnsiTheme="minorEastAsia" w:eastAsiaTheme="minorEastAsia" w:cstheme="minorEastAsia"/>
          <w:sz w:val="24"/>
          <w:szCs w:val="24"/>
        </w:rPr>
      </w:pPr>
    </w:p>
    <w:p>
      <w:pPr>
        <w:pStyle w:val="23"/>
        <w:snapToGrid w:val="0"/>
        <w:spacing w:line="360" w:lineRule="auto"/>
        <w:ind w:firstLine="240" w:firstLineChars="1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(2)每一密封信封上注明“于正式开启之前不准启封”的字样，同时在密封处加盖公章。</w:t>
      </w:r>
    </w:p>
    <w:p>
      <w:pPr>
        <w:pStyle w:val="23"/>
        <w:snapToGrid w:val="0"/>
        <w:spacing w:line="360" w:lineRule="auto"/>
        <w:ind w:firstLine="240" w:firstLineChars="1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2.投标人应当在磋商文件要求的截止时间前，将响应文件密封送达指定地点。在截止时间后送达的响应文件为无效文件，采购人、采购代理机构或者磋商小组应当拒收。</w:t>
      </w:r>
    </w:p>
    <w:p>
      <w:pPr>
        <w:pStyle w:val="23"/>
        <w:snapToGrid w:val="0"/>
        <w:spacing w:line="360" w:lineRule="auto"/>
        <w:ind w:firstLine="240" w:firstLineChars="100"/>
        <w:outlineLvl w:val="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(六)响应文件的补充、修改或者撤回</w:t>
      </w:r>
    </w:p>
    <w:p>
      <w:pPr>
        <w:pStyle w:val="23"/>
        <w:snapToGrid w:val="0"/>
        <w:spacing w:line="360" w:lineRule="auto"/>
        <w:ind w:firstLine="496" w:firstLineChars="200"/>
        <w:rPr>
          <w:rFonts w:hint="eastAsia"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投标人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360" w:lineRule="auto"/>
        <w:rPr>
          <w:rFonts w:ascii="宋体" w:hAnsi="宋体" w:eastAsia="宋体" w:cs="宋体"/>
          <w:b/>
          <w:bCs/>
          <w:kern w:val="2"/>
          <w:sz w:val="32"/>
          <w:szCs w:val="32"/>
        </w:rPr>
      </w:pPr>
      <w:bookmarkStart w:id="80" w:name="_Toc513018302"/>
      <w:bookmarkStart w:id="81" w:name="_Toc512607760"/>
    </w:p>
    <w:p>
      <w:pPr>
        <w:spacing w:line="360" w:lineRule="auto"/>
        <w:rPr>
          <w:rFonts w:ascii="宋体" w:hAnsi="宋体" w:eastAsia="宋体" w:cs="宋体"/>
          <w:b/>
          <w:bCs/>
          <w:kern w:val="2"/>
          <w:sz w:val="32"/>
          <w:szCs w:val="32"/>
        </w:rPr>
      </w:pPr>
    </w:p>
    <w:p>
      <w:pPr>
        <w:spacing w:line="360" w:lineRule="auto"/>
        <w:rPr>
          <w:rFonts w:ascii="宋体" w:hAnsi="宋体" w:eastAsia="宋体" w:cs="宋体"/>
          <w:b/>
          <w:bCs/>
          <w:kern w:val="2"/>
          <w:sz w:val="32"/>
          <w:szCs w:val="32"/>
        </w:rPr>
      </w:pPr>
    </w:p>
    <w:p>
      <w:pPr>
        <w:spacing w:line="360" w:lineRule="auto"/>
        <w:rPr>
          <w:rFonts w:ascii="宋体" w:hAnsi="宋体" w:eastAsia="宋体" w:cs="宋体"/>
          <w:b/>
          <w:bCs/>
          <w:kern w:val="2"/>
          <w:sz w:val="32"/>
          <w:szCs w:val="32"/>
        </w:rPr>
      </w:pPr>
    </w:p>
    <w:p>
      <w:pPr>
        <w:spacing w:line="360" w:lineRule="auto"/>
        <w:rPr>
          <w:rFonts w:ascii="宋体" w:hAnsi="宋体" w:eastAsia="宋体" w:cs="宋体"/>
          <w:b/>
          <w:bCs/>
          <w:kern w:val="2"/>
          <w:sz w:val="32"/>
          <w:szCs w:val="32"/>
        </w:rPr>
      </w:pPr>
    </w:p>
    <w:p>
      <w:pPr>
        <w:numPr>
          <w:ilvl w:val="0"/>
          <w:numId w:val="1"/>
        </w:numPr>
        <w:spacing w:line="360" w:lineRule="auto"/>
        <w:jc w:val="center"/>
        <w:outlineLvl w:val="0"/>
        <w:rPr>
          <w:rFonts w:ascii="Arial" w:hAnsi="宋体" w:eastAsia="宋体" w:cs="Arial"/>
          <w:b/>
          <w:sz w:val="24"/>
          <w:szCs w:val="24"/>
        </w:rPr>
      </w:pPr>
      <w:r>
        <w:rPr>
          <w:rFonts w:hint="eastAsia" w:ascii="宋体" w:hAnsi="宋体" w:eastAsia="宋体" w:cs="宋体"/>
          <w:b/>
          <w:bCs/>
          <w:kern w:val="2"/>
          <w:sz w:val="32"/>
          <w:szCs w:val="32"/>
        </w:rPr>
        <w:t xml:space="preserve">  </w:t>
      </w:r>
      <w:r>
        <w:rPr>
          <w:rFonts w:ascii="宋体" w:hAnsi="宋体" w:eastAsia="宋体" w:cs="宋体"/>
          <w:b/>
          <w:bCs/>
          <w:kern w:val="2"/>
          <w:sz w:val="32"/>
          <w:szCs w:val="32"/>
        </w:rPr>
        <w:t>合同草案</w:t>
      </w:r>
      <w:bookmarkEnd w:id="80"/>
      <w:bookmarkEnd w:id="81"/>
      <w:r>
        <w:rPr>
          <w:rFonts w:ascii="Arial" w:hAnsi="宋体" w:eastAsia="宋体" w:cs="Arial"/>
          <w:b/>
          <w:sz w:val="24"/>
          <w:szCs w:val="24"/>
        </w:rPr>
        <w:t>(本项仅供参考)</w:t>
      </w:r>
    </w:p>
    <w:p>
      <w:pPr>
        <w:numPr>
          <w:ilvl w:val="0"/>
          <w:numId w:val="0"/>
        </w:numPr>
        <w:spacing w:line="360" w:lineRule="auto"/>
        <w:jc w:val="center"/>
        <w:rPr>
          <w:rFonts w:ascii="Arial" w:hAnsi="Arial" w:eastAsia="宋体" w:cs="Arial"/>
          <w:b/>
          <w:sz w:val="24"/>
          <w:szCs w:val="24"/>
        </w:rPr>
      </w:pPr>
      <w:r>
        <w:rPr>
          <w:rFonts w:ascii="Arial" w:hAnsi="宋体" w:eastAsia="宋体" w:cs="Arial"/>
          <w:b/>
          <w:sz w:val="24"/>
          <w:szCs w:val="24"/>
        </w:rPr>
        <w:t>合同一般条款</w:t>
      </w:r>
    </w:p>
    <w:p>
      <w:pPr>
        <w:spacing w:line="240" w:lineRule="auto"/>
        <w:rPr>
          <w:rFonts w:hint="eastAsia" w:ascii="宋体" w:hAnsi="宋体" w:eastAsia="宋体" w:cs="宋体"/>
          <w:sz w:val="24"/>
          <w:szCs w:val="24"/>
          <w:lang w:eastAsia="zh-CN"/>
        </w:rPr>
      </w:pPr>
      <w:r>
        <w:rPr>
          <w:rFonts w:hint="eastAsia" w:ascii="宋体" w:hAnsi="宋体" w:eastAsia="宋体" w:cs="宋体"/>
          <w:sz w:val="24"/>
          <w:szCs w:val="24"/>
        </w:rPr>
        <w:t>甲方：</w:t>
      </w:r>
      <w:r>
        <w:rPr>
          <w:rFonts w:hint="eastAsia" w:ascii="宋体" w:hAnsi="宋体" w:eastAsia="宋体" w:cs="宋体"/>
          <w:sz w:val="24"/>
          <w:szCs w:val="24"/>
          <w:lang w:eastAsia="zh-CN"/>
        </w:rPr>
        <w:t>天津市北辰区人民政府青源街道办事处</w:t>
      </w:r>
    </w:p>
    <w:p>
      <w:pPr>
        <w:spacing w:line="240" w:lineRule="auto"/>
        <w:rPr>
          <w:rFonts w:hint="eastAsia" w:ascii="宋体" w:hAnsi="宋体" w:eastAsia="宋体" w:cs="宋体"/>
          <w:sz w:val="24"/>
          <w:szCs w:val="24"/>
        </w:rPr>
      </w:pPr>
      <w:r>
        <w:rPr>
          <w:rFonts w:hint="eastAsia" w:ascii="宋体" w:hAnsi="宋体" w:eastAsia="宋体" w:cs="宋体"/>
          <w:sz w:val="24"/>
          <w:szCs w:val="24"/>
        </w:rPr>
        <w:t>乙方：</w:t>
      </w:r>
    </w:p>
    <w:p>
      <w:pPr>
        <w:spacing w:line="24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甲、乙双方根据</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项目（项目编号：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）的竞争性磋商文件要求及2020年  月  日</w:t>
      </w:r>
      <w:r>
        <w:rPr>
          <w:rFonts w:hint="eastAsia" w:ascii="宋体" w:hAnsi="宋体" w:eastAsia="宋体" w:cs="宋体"/>
          <w:sz w:val="24"/>
          <w:szCs w:val="24"/>
          <w:lang w:eastAsia="zh-CN"/>
        </w:rPr>
        <w:t>天津同力源工程咨询有限公司</w:t>
      </w:r>
      <w:r>
        <w:rPr>
          <w:rFonts w:hint="eastAsia" w:ascii="宋体" w:hAnsi="宋体" w:eastAsia="宋体" w:cs="宋体"/>
          <w:sz w:val="24"/>
          <w:szCs w:val="24"/>
        </w:rPr>
        <w:t>与采购人以竞争性磋商的方式联合组织的该项目磋商结果及质疑承诺；经双方协商，一致同意签订本合同：</w:t>
      </w:r>
    </w:p>
    <w:p>
      <w:pPr>
        <w:spacing w:line="240" w:lineRule="auto"/>
        <w:rPr>
          <w:rFonts w:hint="default" w:ascii="宋体" w:hAnsi="宋体" w:eastAsia="宋体" w:cs="宋体"/>
          <w:sz w:val="24"/>
          <w:szCs w:val="24"/>
          <w:u w:val="single"/>
          <w:lang w:val="en-US" w:eastAsia="zh-CN"/>
        </w:rPr>
      </w:pPr>
      <w:r>
        <w:rPr>
          <w:rFonts w:hint="eastAsia" w:ascii="宋体" w:hAnsi="宋体" w:eastAsia="宋体" w:cs="宋体"/>
          <w:sz w:val="24"/>
          <w:szCs w:val="24"/>
        </w:rPr>
        <w:t>一、服务内容</w:t>
      </w:r>
      <w:r>
        <w:rPr>
          <w:rFonts w:hint="eastAsia" w:ascii="宋体" w:hAnsi="宋体" w:eastAsia="宋体" w:cs="宋体"/>
          <w:sz w:val="24"/>
          <w:szCs w:val="24"/>
          <w:lang w:val="en-US" w:eastAsia="zh-CN"/>
        </w:rPr>
        <w:t>:</w:t>
      </w:r>
      <w:r>
        <w:rPr>
          <w:rFonts w:hint="eastAsia" w:ascii="宋体" w:hAnsi="宋体" w:eastAsia="宋体" w:cs="宋体"/>
          <w:sz w:val="24"/>
          <w:szCs w:val="24"/>
          <w:u w:val="single"/>
          <w:lang w:val="en-US" w:eastAsia="zh-CN"/>
        </w:rPr>
        <w:t xml:space="preserve">            </w:t>
      </w:r>
    </w:p>
    <w:p>
      <w:pPr>
        <w:spacing w:line="240" w:lineRule="auto"/>
        <w:rPr>
          <w:rFonts w:hint="eastAsia" w:ascii="宋体" w:hAnsi="宋体" w:eastAsia="宋体" w:cs="宋体"/>
          <w:sz w:val="24"/>
          <w:szCs w:val="24"/>
        </w:rPr>
      </w:pPr>
      <w:r>
        <w:rPr>
          <w:rFonts w:hint="eastAsia" w:ascii="宋体" w:hAnsi="宋体" w:eastAsia="宋体" w:cs="宋体"/>
          <w:sz w:val="24"/>
          <w:szCs w:val="24"/>
        </w:rPr>
        <w:t>二、服务期及服务地点</w:t>
      </w:r>
    </w:p>
    <w:p>
      <w:pPr>
        <w:spacing w:line="240" w:lineRule="auto"/>
        <w:rPr>
          <w:rFonts w:hint="default" w:ascii="宋体" w:hAnsi="宋体" w:eastAsia="宋体" w:cs="宋体"/>
          <w:bCs/>
          <w:sz w:val="24"/>
          <w:szCs w:val="24"/>
          <w:lang w:val="en-US" w:eastAsia="zh-CN"/>
        </w:rPr>
      </w:pPr>
      <w:r>
        <w:rPr>
          <w:rFonts w:hint="eastAsia" w:ascii="宋体" w:hAnsi="宋体" w:eastAsia="宋体" w:cs="宋体"/>
          <w:bCs/>
          <w:sz w:val="24"/>
          <w:szCs w:val="24"/>
        </w:rPr>
        <w:t xml:space="preserve">    </w:t>
      </w:r>
      <w:r>
        <w:rPr>
          <w:rFonts w:hint="eastAsia" w:ascii="宋体" w:hAnsi="宋体" w:eastAsia="宋体" w:cs="宋体"/>
          <w:sz w:val="24"/>
          <w:szCs w:val="24"/>
        </w:rPr>
        <w:t>1、服务期：</w:t>
      </w:r>
      <w:r>
        <w:rPr>
          <w:rFonts w:hint="eastAsia" w:ascii="宋体" w:hAnsi="宋体" w:eastAsia="宋体" w:cs="宋体"/>
          <w:sz w:val="24"/>
          <w:szCs w:val="24"/>
          <w:u w:val="single"/>
          <w:lang w:val="en-US" w:eastAsia="zh-CN"/>
        </w:rPr>
        <w:t xml:space="preserve">           </w:t>
      </w:r>
    </w:p>
    <w:p>
      <w:pPr>
        <w:spacing w:line="24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2、服务地点：</w:t>
      </w:r>
      <w:r>
        <w:rPr>
          <w:rFonts w:hint="eastAsia" w:ascii="宋体" w:hAnsi="宋体" w:eastAsia="宋体" w:cs="宋体"/>
          <w:sz w:val="24"/>
          <w:szCs w:val="24"/>
          <w:u w:val="single"/>
          <w:lang w:val="en-US" w:eastAsia="zh-CN"/>
        </w:rPr>
        <w:t xml:space="preserve">         </w:t>
      </w:r>
    </w:p>
    <w:p>
      <w:pPr>
        <w:spacing w:line="240" w:lineRule="auto"/>
        <w:rPr>
          <w:rFonts w:hint="eastAsia" w:ascii="宋体" w:hAnsi="宋体" w:eastAsia="宋体" w:cs="宋体"/>
          <w:sz w:val="24"/>
          <w:szCs w:val="24"/>
        </w:rPr>
      </w:pPr>
      <w:r>
        <w:rPr>
          <w:rFonts w:hint="eastAsia" w:ascii="宋体" w:hAnsi="宋体" w:eastAsia="宋体" w:cs="宋体"/>
          <w:sz w:val="24"/>
          <w:szCs w:val="24"/>
        </w:rPr>
        <w:t>三、服务要求</w:t>
      </w:r>
    </w:p>
    <w:p>
      <w:pPr>
        <w:spacing w:line="24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1、必须满足或高于磋商文件要求。</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2、乙方提供的服务与成交所示内容完全一致，不存在任何偏差。如出现不一致，乙方将承担违约责任。</w:t>
      </w:r>
    </w:p>
    <w:p>
      <w:pPr>
        <w:spacing w:line="240" w:lineRule="auto"/>
        <w:rPr>
          <w:rFonts w:hint="eastAsia" w:ascii="宋体" w:hAnsi="宋体" w:eastAsia="宋体" w:cs="宋体"/>
          <w:sz w:val="24"/>
          <w:szCs w:val="24"/>
        </w:rPr>
      </w:pPr>
      <w:r>
        <w:rPr>
          <w:rFonts w:hint="eastAsia" w:ascii="宋体" w:hAnsi="宋体" w:eastAsia="宋体" w:cs="宋体"/>
          <w:sz w:val="24"/>
          <w:szCs w:val="24"/>
        </w:rPr>
        <w:t>四、合同额及付款方式</w:t>
      </w:r>
    </w:p>
    <w:p>
      <w:pPr>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1、合同额：    元整（小写：¥      ）</w:t>
      </w:r>
    </w:p>
    <w:p>
      <w:pPr>
        <w:pStyle w:val="23"/>
        <w:spacing w:line="360" w:lineRule="auto"/>
        <w:ind w:firstLine="480" w:firstLineChars="200"/>
        <w:jc w:val="both"/>
        <w:outlineLvl w:val="2"/>
        <w:rPr>
          <w:rFonts w:hint="eastAsia" w:ascii="宋体" w:hAnsi="宋体" w:eastAsia="宋体" w:cs="宋体"/>
          <w:color w:val="auto"/>
          <w:highlight w:val="none"/>
          <w:lang w:eastAsia="zh-CN"/>
        </w:rPr>
      </w:pPr>
      <w:r>
        <w:rPr>
          <w:rFonts w:hint="eastAsia" w:ascii="宋体" w:hAnsi="宋体" w:eastAsia="宋体" w:cs="宋体"/>
          <w:sz w:val="24"/>
          <w:szCs w:val="24"/>
        </w:rPr>
        <w:t>2、</w:t>
      </w:r>
      <w:r>
        <w:rPr>
          <w:rFonts w:hint="eastAsia" w:ascii="宋体" w:hAnsi="宋体" w:eastAsia="宋体" w:cs="宋体"/>
          <w:color w:val="auto"/>
          <w:sz w:val="24"/>
          <w:szCs w:val="24"/>
        </w:rPr>
        <w:t>付款方式：</w:t>
      </w:r>
      <w:r>
        <w:rPr>
          <w:rFonts w:hint="eastAsia" w:ascii="宋体" w:hAnsi="宋体" w:eastAsia="宋体" w:cs="宋体"/>
          <w:color w:val="auto"/>
          <w:highlight w:val="none"/>
          <w:lang w:eastAsia="zh-CN"/>
        </w:rPr>
        <w:t>签订合同后，验收合格一次性付清全款。（特殊情况以签订合同为准）</w:t>
      </w:r>
    </w:p>
    <w:p>
      <w:pPr>
        <w:spacing w:line="240" w:lineRule="auto"/>
        <w:ind w:left="1022" w:leftChars="301" w:hanging="360" w:hangingChars="150"/>
        <w:rPr>
          <w:rFonts w:hint="eastAsia" w:ascii="宋体" w:hAnsi="宋体" w:eastAsia="宋体" w:cs="宋体"/>
          <w:sz w:val="24"/>
          <w:szCs w:val="24"/>
          <w:lang w:val="en-US" w:eastAsia="zh-CN"/>
        </w:rPr>
      </w:pPr>
    </w:p>
    <w:p>
      <w:pPr>
        <w:spacing w:line="240" w:lineRule="auto"/>
        <w:rPr>
          <w:rFonts w:hint="eastAsia" w:ascii="宋体" w:hAnsi="宋体" w:eastAsia="宋体" w:cs="宋体"/>
          <w:sz w:val="24"/>
          <w:szCs w:val="24"/>
        </w:rPr>
      </w:pPr>
      <w:r>
        <w:rPr>
          <w:rFonts w:hint="eastAsia" w:ascii="宋体" w:hAnsi="宋体" w:eastAsia="宋体" w:cs="宋体"/>
          <w:sz w:val="24"/>
          <w:szCs w:val="24"/>
        </w:rPr>
        <w:t>五、验收</w:t>
      </w:r>
    </w:p>
    <w:p>
      <w:pPr>
        <w:spacing w:line="240" w:lineRule="auto"/>
        <w:ind w:left="564"/>
        <w:rPr>
          <w:rFonts w:hint="eastAsia" w:ascii="宋体" w:hAnsi="宋体" w:eastAsia="宋体" w:cs="宋体"/>
          <w:sz w:val="24"/>
          <w:szCs w:val="24"/>
        </w:rPr>
      </w:pPr>
      <w:r>
        <w:rPr>
          <w:rFonts w:hint="eastAsia" w:ascii="宋体" w:hAnsi="宋体" w:eastAsia="宋体" w:cs="宋体"/>
          <w:sz w:val="24"/>
          <w:szCs w:val="24"/>
        </w:rPr>
        <w:t>1、服务完毕并能正常运行，甲方开具“验收书”。</w:t>
      </w:r>
    </w:p>
    <w:p>
      <w:pPr>
        <w:spacing w:line="240" w:lineRule="auto"/>
        <w:rPr>
          <w:rFonts w:hint="eastAsia" w:ascii="宋体" w:hAnsi="宋体" w:eastAsia="宋体" w:cs="宋体"/>
          <w:sz w:val="24"/>
          <w:szCs w:val="24"/>
        </w:rPr>
      </w:pPr>
      <w:r>
        <w:rPr>
          <w:rFonts w:hint="eastAsia" w:ascii="宋体" w:hAnsi="宋体" w:eastAsia="宋体" w:cs="宋体"/>
          <w:sz w:val="24"/>
          <w:szCs w:val="24"/>
        </w:rPr>
        <w:t>六、违约责任</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1、乙方未能达到约定的服务标准，甲方有权要求乙方限期整改，逾期未整改的，甲方有权终止合同；造成甲方经济损失的,乙方应给予甲方经济赔偿。</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2、非因法律规定或合同约定,任何一方擅自终止本合同,应当承担违约责任,如最终导致合同不能履行,违约方应当赔偿合同总金额百分之五的违约金给守约方,由此给守约方造成经济损失的,违约方还应负责赔偿。</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3、由于甲方原因,使乙方未完成规定管理目标,乙方有权要求甲方在一定期限内解决,逾期未解决的,乙方有权终止合同;造成乙方经济损失的,甲方应给予乙方经济赔偿。</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pacing w:val="-5"/>
          <w:sz w:val="24"/>
          <w:szCs w:val="24"/>
        </w:rPr>
        <w:t>如因不可抗力事件导致一方不能履行或不能完全履行合同,按照合同法的有关规定执行。</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5、如因遇国家法律、法规、政策的规定与本合同发生冲突的,双方应协商对本合同进行相应调整,使之符合法律规定。</w:t>
      </w:r>
    </w:p>
    <w:p>
      <w:pPr>
        <w:spacing w:line="240" w:lineRule="auto"/>
        <w:rPr>
          <w:rFonts w:hint="eastAsia" w:ascii="宋体" w:hAnsi="宋体" w:eastAsia="宋体" w:cs="宋体"/>
          <w:sz w:val="24"/>
          <w:szCs w:val="24"/>
        </w:rPr>
      </w:pPr>
      <w:r>
        <w:rPr>
          <w:rFonts w:hint="eastAsia" w:ascii="宋体" w:hAnsi="宋体" w:eastAsia="宋体" w:cs="宋体"/>
          <w:sz w:val="24"/>
          <w:szCs w:val="24"/>
        </w:rPr>
        <w:t>七、争议解决方式</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1、因服务的质量问题发生争议时，甲、乙双方协商解决。</w:t>
      </w:r>
    </w:p>
    <w:p>
      <w:pPr>
        <w:spacing w:line="240" w:lineRule="auto"/>
        <w:rPr>
          <w:rFonts w:hint="eastAsia" w:ascii="宋体" w:hAnsi="宋体" w:eastAsia="宋体" w:cs="宋体"/>
          <w:sz w:val="24"/>
          <w:szCs w:val="24"/>
        </w:rPr>
      </w:pPr>
      <w:r>
        <w:rPr>
          <w:rFonts w:hint="eastAsia" w:ascii="宋体" w:hAnsi="宋体" w:eastAsia="宋体" w:cs="宋体"/>
          <w:sz w:val="24"/>
          <w:szCs w:val="24"/>
        </w:rPr>
        <w:t>八、未尽事宜</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1、本合同未尽事宜，双方协商补充。</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2、本合同未作明确约定，而又有相关法律、法规规定的，从其规定。</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3、如合同履行过程中产生争议，双方协商解决。不能协商解决时，由合同签订地人民法院诉讼解决。</w:t>
      </w:r>
    </w:p>
    <w:p>
      <w:pPr>
        <w:spacing w:line="240" w:lineRule="auto"/>
        <w:rPr>
          <w:rFonts w:hint="eastAsia" w:ascii="宋体" w:hAnsi="宋体" w:eastAsia="宋体" w:cs="宋体"/>
          <w:sz w:val="24"/>
          <w:szCs w:val="24"/>
        </w:rPr>
      </w:pPr>
      <w:r>
        <w:rPr>
          <w:rFonts w:hint="eastAsia" w:ascii="宋体" w:hAnsi="宋体" w:eastAsia="宋体" w:cs="宋体"/>
          <w:sz w:val="24"/>
          <w:szCs w:val="24"/>
        </w:rPr>
        <w:t>九、合同签订地点</w:t>
      </w:r>
    </w:p>
    <w:p>
      <w:pPr>
        <w:widowControl/>
        <w:spacing w:line="240" w:lineRule="auto"/>
        <w:ind w:left="1022" w:leftChars="301" w:hanging="360" w:hangingChars="150"/>
        <w:rPr>
          <w:rFonts w:hint="eastAsia" w:ascii="宋体" w:hAnsi="宋体" w:eastAsia="宋体" w:cs="宋体"/>
          <w:sz w:val="24"/>
          <w:szCs w:val="24"/>
          <w:lang w:eastAsia="zh-CN"/>
        </w:rPr>
      </w:pPr>
      <w:r>
        <w:rPr>
          <w:rFonts w:hint="eastAsia" w:ascii="宋体" w:hAnsi="宋体" w:eastAsia="宋体" w:cs="宋体"/>
          <w:sz w:val="24"/>
          <w:szCs w:val="24"/>
        </w:rPr>
        <w:t>1、合同签订地点：</w:t>
      </w:r>
      <w:r>
        <w:rPr>
          <w:rFonts w:hint="eastAsia" w:ascii="宋体" w:hAnsi="宋体" w:eastAsia="宋体" w:cs="宋体"/>
          <w:sz w:val="24"/>
          <w:szCs w:val="24"/>
          <w:lang w:eastAsia="zh-CN"/>
        </w:rPr>
        <w:t>天津市北辰区人民政府青源街道办事处</w:t>
      </w:r>
    </w:p>
    <w:p>
      <w:pPr>
        <w:spacing w:line="240" w:lineRule="auto"/>
        <w:rPr>
          <w:rFonts w:hint="eastAsia" w:ascii="宋体" w:hAnsi="宋体" w:eastAsia="宋体" w:cs="宋体"/>
          <w:sz w:val="24"/>
          <w:szCs w:val="24"/>
        </w:rPr>
      </w:pPr>
      <w:r>
        <w:rPr>
          <w:rFonts w:hint="eastAsia" w:ascii="宋体" w:hAnsi="宋体" w:eastAsia="宋体" w:cs="宋体"/>
          <w:sz w:val="24"/>
          <w:szCs w:val="24"/>
        </w:rPr>
        <w:t>十、其他</w:t>
      </w:r>
    </w:p>
    <w:p>
      <w:pPr>
        <w:spacing w:line="24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1、本合同双方签字、盖章后生效。本合同壹式</w:t>
      </w:r>
      <w:r>
        <w:rPr>
          <w:rFonts w:hint="eastAsia" w:ascii="宋体" w:hAnsi="宋体" w:eastAsia="宋体" w:cs="宋体"/>
          <w:sz w:val="24"/>
          <w:szCs w:val="24"/>
          <w:lang w:eastAsia="zh-CN"/>
        </w:rPr>
        <w:t>陆</w:t>
      </w:r>
      <w:r>
        <w:rPr>
          <w:rFonts w:hint="eastAsia" w:ascii="宋体" w:hAnsi="宋体" w:eastAsia="宋体" w:cs="宋体"/>
          <w:sz w:val="24"/>
          <w:szCs w:val="24"/>
        </w:rPr>
        <w:t>份，甲方执肆份、乙方执壹份、</w:t>
      </w:r>
      <w:r>
        <w:rPr>
          <w:rFonts w:hint="eastAsia" w:ascii="宋体" w:hAnsi="宋体" w:eastAsia="宋体" w:cs="宋体"/>
          <w:sz w:val="24"/>
          <w:szCs w:val="24"/>
          <w:lang w:eastAsia="zh-CN"/>
        </w:rPr>
        <w:t>天津同力源工程咨询有限公司</w:t>
      </w:r>
      <w:r>
        <w:rPr>
          <w:rFonts w:hint="eastAsia" w:ascii="宋体" w:hAnsi="宋体" w:eastAsia="宋体" w:cs="宋体"/>
          <w:sz w:val="24"/>
          <w:szCs w:val="24"/>
        </w:rPr>
        <w:t>各存档壹份，具有同等法律效力。</w:t>
      </w:r>
    </w:p>
    <w:p>
      <w:pPr>
        <w:spacing w:line="240" w:lineRule="auto"/>
        <w:rPr>
          <w:rFonts w:hint="eastAsia" w:ascii="宋体" w:hAnsi="宋体" w:eastAsia="宋体" w:cs="宋体"/>
          <w:sz w:val="24"/>
          <w:szCs w:val="24"/>
        </w:rPr>
      </w:pPr>
      <w:r>
        <w:rPr>
          <w:rFonts w:hint="eastAsia" w:ascii="宋体" w:hAnsi="宋体" w:eastAsia="宋体" w:cs="宋体"/>
          <w:sz w:val="24"/>
          <w:szCs w:val="24"/>
        </w:rPr>
        <w:t xml:space="preserve">     2、以下附件为本合同不可分割的一部分，具有与本合同同等的法律效力：</w:t>
      </w:r>
    </w:p>
    <w:p>
      <w:pPr>
        <w:spacing w:line="240" w:lineRule="auto"/>
        <w:ind w:left="420" w:firstLine="420"/>
        <w:rPr>
          <w:rFonts w:hint="eastAsia" w:ascii="宋体" w:hAnsi="宋体" w:eastAsia="宋体" w:cs="宋体"/>
          <w:sz w:val="24"/>
          <w:szCs w:val="24"/>
        </w:rPr>
      </w:pPr>
      <w:r>
        <w:rPr>
          <w:rFonts w:hint="eastAsia" w:ascii="宋体" w:hAnsi="宋体" w:eastAsia="宋体" w:cs="宋体"/>
          <w:sz w:val="24"/>
          <w:szCs w:val="24"/>
        </w:rPr>
        <w:t>（1）本项目的竞争性磋商文件；</w:t>
      </w:r>
    </w:p>
    <w:p>
      <w:pPr>
        <w:spacing w:line="240" w:lineRule="auto"/>
        <w:ind w:left="420" w:firstLine="420"/>
        <w:rPr>
          <w:rFonts w:hint="eastAsia" w:ascii="宋体" w:hAnsi="宋体" w:eastAsia="宋体" w:cs="宋体"/>
          <w:sz w:val="24"/>
          <w:szCs w:val="24"/>
        </w:rPr>
      </w:pPr>
      <w:r>
        <w:rPr>
          <w:rFonts w:hint="eastAsia" w:ascii="宋体" w:hAnsi="宋体" w:eastAsia="宋体" w:cs="宋体"/>
          <w:sz w:val="24"/>
          <w:szCs w:val="24"/>
        </w:rPr>
        <w:t>（2）乙方的响应文件、有关响应的澄清资料及承诺书。</w:t>
      </w:r>
    </w:p>
    <w:p>
      <w:pPr>
        <w:spacing w:line="240" w:lineRule="auto"/>
        <w:ind w:firstLine="564"/>
        <w:rPr>
          <w:rFonts w:hint="eastAsia" w:ascii="宋体" w:hAnsi="宋体" w:eastAsia="宋体" w:cs="宋体"/>
          <w:sz w:val="24"/>
          <w:szCs w:val="24"/>
        </w:rPr>
      </w:pPr>
      <w:r>
        <w:rPr>
          <w:rFonts w:hint="eastAsia" w:ascii="宋体" w:hAnsi="宋体" w:eastAsia="宋体" w:cs="宋体"/>
          <w:sz w:val="24"/>
          <w:szCs w:val="24"/>
        </w:rPr>
        <w:t>甲方：（公章）                        乙方：（公章）</w:t>
      </w:r>
    </w:p>
    <w:p>
      <w:pPr>
        <w:spacing w:line="240" w:lineRule="auto"/>
        <w:ind w:firstLine="564"/>
        <w:rPr>
          <w:rFonts w:hint="eastAsia" w:ascii="宋体" w:hAnsi="宋体" w:eastAsia="宋体" w:cs="宋体"/>
          <w:sz w:val="24"/>
          <w:szCs w:val="24"/>
        </w:rPr>
      </w:pPr>
      <w:r>
        <w:rPr>
          <w:rFonts w:hint="eastAsia" w:ascii="宋体" w:hAnsi="宋体" w:eastAsia="宋体" w:cs="宋体"/>
          <w:sz w:val="24"/>
          <w:szCs w:val="24"/>
        </w:rPr>
        <w:t>住所：                               住所：</w:t>
      </w:r>
    </w:p>
    <w:p>
      <w:pPr>
        <w:spacing w:line="240" w:lineRule="auto"/>
        <w:ind w:firstLine="564"/>
        <w:rPr>
          <w:rFonts w:hint="eastAsia" w:ascii="宋体" w:hAnsi="宋体" w:eastAsia="宋体" w:cs="宋体"/>
          <w:sz w:val="24"/>
          <w:szCs w:val="24"/>
        </w:rPr>
      </w:pPr>
      <w:r>
        <w:rPr>
          <w:rFonts w:hint="eastAsia" w:ascii="宋体" w:hAnsi="宋体" w:eastAsia="宋体" w:cs="宋体"/>
          <w:sz w:val="24"/>
          <w:szCs w:val="24"/>
        </w:rPr>
        <w:t>法定代表人或委托代理人签字：         法定代表人或委托代理人签字：</w:t>
      </w:r>
    </w:p>
    <w:p>
      <w:pPr>
        <w:spacing w:line="240" w:lineRule="auto"/>
        <w:jc w:val="both"/>
        <w:rPr>
          <w:rFonts w:ascii="Arial" w:hAnsi="宋体" w:eastAsia="宋体" w:cs="Arial"/>
          <w:b/>
          <w:sz w:val="24"/>
          <w:szCs w:val="24"/>
        </w:rPr>
      </w:pPr>
      <w:r>
        <w:rPr>
          <w:rFonts w:hint="eastAsia" w:ascii="宋体" w:hAnsi="宋体" w:eastAsia="宋体" w:cs="宋体"/>
          <w:sz w:val="24"/>
          <w:szCs w:val="24"/>
        </w:rPr>
        <w:t xml:space="preserve">              年   月   日                         年   月   日</w:t>
      </w:r>
    </w:p>
    <w:p>
      <w:pPr>
        <w:spacing w:line="360" w:lineRule="auto"/>
        <w:jc w:val="both"/>
        <w:rPr>
          <w:rFonts w:ascii="Arial" w:hAnsi="宋体" w:eastAsia="宋体" w:cs="Arial"/>
          <w:b/>
          <w:sz w:val="24"/>
          <w:szCs w:val="24"/>
        </w:rPr>
      </w:pPr>
    </w:p>
    <w:p>
      <w:pPr>
        <w:spacing w:line="360" w:lineRule="auto"/>
        <w:jc w:val="center"/>
        <w:rPr>
          <w:rFonts w:ascii="Arial" w:hAnsi="宋体" w:eastAsia="宋体" w:cs="Arial"/>
          <w:b/>
          <w:sz w:val="24"/>
          <w:szCs w:val="24"/>
        </w:rPr>
      </w:pPr>
    </w:p>
    <w:p>
      <w:pPr>
        <w:spacing w:line="360" w:lineRule="auto"/>
        <w:jc w:val="center"/>
        <w:rPr>
          <w:rFonts w:ascii="Arial" w:hAnsi="宋体" w:eastAsia="宋体" w:cs="Arial"/>
          <w:b/>
          <w:sz w:val="24"/>
          <w:szCs w:val="24"/>
        </w:rPr>
      </w:pPr>
    </w:p>
    <w:p>
      <w:pPr>
        <w:spacing w:line="360" w:lineRule="auto"/>
        <w:jc w:val="center"/>
        <w:rPr>
          <w:rFonts w:ascii="Arial" w:hAnsi="Arial" w:eastAsia="宋体" w:cs="Arial"/>
          <w:b/>
          <w:sz w:val="24"/>
          <w:szCs w:val="24"/>
        </w:rPr>
      </w:pPr>
      <w:r>
        <w:rPr>
          <w:rFonts w:ascii="Arial" w:hAnsi="宋体" w:eastAsia="宋体" w:cs="Arial"/>
          <w:b/>
          <w:sz w:val="24"/>
          <w:szCs w:val="24"/>
        </w:rPr>
        <w:t>合同特殊条款</w:t>
      </w:r>
    </w:p>
    <w:p>
      <w:pPr>
        <w:tabs>
          <w:tab w:val="left" w:pos="360"/>
        </w:tabs>
        <w:spacing w:line="360" w:lineRule="auto"/>
        <w:ind w:firstLine="410" w:firstLineChars="171"/>
        <w:rPr>
          <w:rFonts w:ascii="Arial" w:hAnsi="Arial" w:eastAsia="宋体" w:cs="Arial"/>
          <w:sz w:val="24"/>
          <w:szCs w:val="24"/>
        </w:rPr>
      </w:pPr>
    </w:p>
    <w:p>
      <w:pPr>
        <w:tabs>
          <w:tab w:val="left" w:pos="360"/>
        </w:tabs>
        <w:spacing w:line="360" w:lineRule="auto"/>
        <w:ind w:firstLine="410" w:firstLineChars="171"/>
        <w:rPr>
          <w:rFonts w:ascii="Arial" w:hAnsi="Arial" w:eastAsia="宋体" w:cs="Arial"/>
          <w:sz w:val="24"/>
          <w:szCs w:val="24"/>
        </w:rPr>
      </w:pPr>
      <w:r>
        <w:rPr>
          <w:rFonts w:ascii="Arial" w:hAnsi="宋体" w:eastAsia="宋体" w:cs="Arial"/>
          <w:sz w:val="24"/>
          <w:szCs w:val="24"/>
        </w:rPr>
        <w:t>合同特殊条款是合同一般条款的补充和修改。如果两者之间有抵触，应以特殊条款为准。</w:t>
      </w:r>
    </w:p>
    <w:p>
      <w:pPr>
        <w:tabs>
          <w:tab w:val="left" w:pos="360"/>
        </w:tabs>
        <w:spacing w:line="360" w:lineRule="auto"/>
        <w:ind w:firstLine="410" w:firstLineChars="171"/>
        <w:rPr>
          <w:rFonts w:ascii="Arial" w:hAnsi="Arial" w:eastAsia="宋体" w:cs="Arial"/>
          <w:sz w:val="24"/>
          <w:szCs w:val="24"/>
        </w:rPr>
      </w:pPr>
      <w:r>
        <w:rPr>
          <w:rFonts w:ascii="Arial" w:hAnsi="宋体" w:eastAsia="宋体" w:cs="Arial"/>
          <w:sz w:val="24"/>
          <w:szCs w:val="24"/>
        </w:rPr>
        <w:t>合同特殊条款由</w:t>
      </w:r>
      <w:r>
        <w:rPr>
          <w:rFonts w:hint="eastAsia" w:ascii="Arial" w:hAnsi="宋体" w:eastAsia="宋体" w:cs="Arial"/>
          <w:sz w:val="24"/>
          <w:szCs w:val="24"/>
        </w:rPr>
        <w:t>成交</w:t>
      </w:r>
      <w:r>
        <w:rPr>
          <w:rFonts w:ascii="Arial" w:hAnsi="宋体" w:eastAsia="宋体" w:cs="Arial"/>
          <w:sz w:val="24"/>
          <w:szCs w:val="24"/>
        </w:rPr>
        <w:t>单位和需求方及代理方根据</w:t>
      </w:r>
      <w:r>
        <w:rPr>
          <w:rFonts w:hint="eastAsia" w:ascii="Arial" w:hAnsi="宋体" w:eastAsia="宋体" w:cs="Arial"/>
          <w:sz w:val="24"/>
          <w:szCs w:val="24"/>
        </w:rPr>
        <w:t>服务</w:t>
      </w:r>
      <w:r>
        <w:rPr>
          <w:rFonts w:ascii="Arial" w:hAnsi="宋体" w:eastAsia="宋体" w:cs="Arial"/>
          <w:sz w:val="24"/>
          <w:szCs w:val="24"/>
        </w:rPr>
        <w:t>项目的具体情况协商拟订。</w:t>
      </w: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tabs>
          <w:tab w:val="left" w:pos="1260"/>
          <w:tab w:val="center" w:pos="4156"/>
        </w:tabs>
        <w:autoSpaceDE w:val="0"/>
        <w:autoSpaceDN w:val="0"/>
        <w:jc w:val="center"/>
        <w:outlineLvl w:val="9"/>
        <w:rPr>
          <w:rFonts w:ascii="宋体" w:hAnsi="宋体" w:eastAsia="宋体" w:cs="宋体"/>
          <w:b/>
          <w:bCs/>
          <w:kern w:val="2"/>
          <w:sz w:val="32"/>
          <w:szCs w:val="32"/>
        </w:rPr>
      </w:pPr>
    </w:p>
    <w:p>
      <w:pPr>
        <w:tabs>
          <w:tab w:val="left" w:pos="360"/>
        </w:tabs>
        <w:spacing w:line="560" w:lineRule="exact"/>
        <w:jc w:val="center"/>
        <w:rPr>
          <w:rFonts w:hint="eastAsia" w:ascii="宋体"/>
          <w:b/>
          <w:sz w:val="36"/>
          <w:szCs w:val="36"/>
        </w:rPr>
      </w:pPr>
      <w:bookmarkStart w:id="82" w:name="_Toc14789_WPSOffice_Level1"/>
    </w:p>
    <w:p>
      <w:pPr>
        <w:tabs>
          <w:tab w:val="left" w:pos="360"/>
        </w:tabs>
        <w:spacing w:line="560" w:lineRule="exact"/>
        <w:jc w:val="center"/>
        <w:outlineLvl w:val="0"/>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第</w:t>
      </w:r>
      <w:r>
        <w:rPr>
          <w:rFonts w:hint="eastAsia" w:asciiTheme="majorEastAsia" w:hAnsiTheme="majorEastAsia" w:eastAsiaTheme="majorEastAsia" w:cstheme="majorEastAsia"/>
          <w:b/>
          <w:sz w:val="36"/>
          <w:szCs w:val="36"/>
          <w:lang w:eastAsia="zh-CN"/>
        </w:rPr>
        <w:t>六</w:t>
      </w:r>
      <w:r>
        <w:rPr>
          <w:rFonts w:hint="eastAsia" w:asciiTheme="majorEastAsia" w:hAnsiTheme="majorEastAsia" w:eastAsiaTheme="majorEastAsia" w:cstheme="majorEastAsia"/>
          <w:b/>
          <w:sz w:val="36"/>
          <w:szCs w:val="36"/>
        </w:rPr>
        <w:t>部分 附件—磋商文件格式</w:t>
      </w:r>
      <w:bookmarkEnd w:id="82"/>
    </w:p>
    <w:p>
      <w:pPr>
        <w:widowControl/>
        <w:spacing w:line="360" w:lineRule="auto"/>
        <w:ind w:firstLine="360"/>
        <w:jc w:val="center"/>
        <w:outlineLvl w:val="0"/>
        <w:rPr>
          <w:rFonts w:hint="eastAsia" w:asciiTheme="majorEastAsia" w:hAnsiTheme="majorEastAsia" w:eastAsiaTheme="majorEastAsia" w:cstheme="majorEastAsia"/>
          <w:sz w:val="100"/>
          <w:szCs w:val="100"/>
        </w:rPr>
      </w:pPr>
      <w:r>
        <w:rPr>
          <w:rFonts w:hint="eastAsia" w:asciiTheme="majorEastAsia" w:hAnsiTheme="majorEastAsia" w:eastAsiaTheme="majorEastAsia" w:cstheme="majorEastAsia"/>
          <w:sz w:val="100"/>
          <w:szCs w:val="100"/>
        </w:rPr>
        <w:t>响 应 文 件</w:t>
      </w:r>
    </w:p>
    <w:p>
      <w:pPr>
        <w:widowControl/>
        <w:spacing w:line="360" w:lineRule="auto"/>
        <w:ind w:firstLine="360"/>
        <w:jc w:val="center"/>
        <w:rPr>
          <w:rFonts w:hint="eastAsia" w:asciiTheme="majorEastAsia" w:hAnsiTheme="majorEastAsia" w:eastAsiaTheme="majorEastAsia" w:cstheme="majorEastAsia"/>
          <w:b/>
          <w:kern w:val="0"/>
          <w:sz w:val="36"/>
          <w:szCs w:val="36"/>
        </w:rPr>
      </w:pPr>
      <w:r>
        <w:rPr>
          <w:rFonts w:hint="eastAsia" w:asciiTheme="majorEastAsia" w:hAnsiTheme="majorEastAsia" w:eastAsiaTheme="majorEastAsia" w:cstheme="majorEastAsia"/>
          <w:b/>
          <w:kern w:val="0"/>
          <w:sz w:val="36"/>
          <w:szCs w:val="36"/>
        </w:rPr>
        <w:t>第一阶段</w:t>
      </w:r>
    </w:p>
    <w:p>
      <w:pPr>
        <w:widowControl/>
        <w:spacing w:line="500" w:lineRule="exact"/>
        <w:ind w:firstLine="321" w:firstLineChars="100"/>
        <w:jc w:val="center"/>
        <w:outlineLvl w:val="1"/>
        <w:rPr>
          <w:rFonts w:hint="eastAsia" w:asciiTheme="majorEastAsia" w:hAnsiTheme="majorEastAsia" w:eastAsiaTheme="majorEastAsia" w:cstheme="majorEastAsia"/>
          <w:b/>
          <w:sz w:val="32"/>
        </w:rPr>
      </w:pPr>
      <w:r>
        <w:rPr>
          <w:rFonts w:hint="eastAsia" w:asciiTheme="majorEastAsia" w:hAnsiTheme="majorEastAsia" w:eastAsiaTheme="majorEastAsia" w:cstheme="majorEastAsia"/>
          <w:b/>
          <w:sz w:val="32"/>
        </w:rPr>
        <w:t>正本或副本</w:t>
      </w:r>
    </w:p>
    <w:p>
      <w:pPr>
        <w:widowControl/>
        <w:spacing w:line="500" w:lineRule="exact"/>
        <w:jc w:val="center"/>
        <w:rPr>
          <w:rFonts w:hint="eastAsia" w:asciiTheme="majorEastAsia" w:hAnsiTheme="majorEastAsia" w:eastAsiaTheme="majorEastAsia" w:cstheme="majorEastAsia"/>
          <w:sz w:val="30"/>
          <w:szCs w:val="30"/>
        </w:rPr>
      </w:pPr>
    </w:p>
    <w:p>
      <w:pPr>
        <w:spacing w:before="93" w:beforeLines="30" w:after="218" w:afterLines="70" w:line="540" w:lineRule="exact"/>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项目编号：</w:t>
      </w:r>
    </w:p>
    <w:p>
      <w:pPr>
        <w:spacing w:before="93" w:beforeLines="30" w:after="218" w:afterLines="70" w:line="540" w:lineRule="exact"/>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项目名称：</w:t>
      </w:r>
    </w:p>
    <w:p>
      <w:pPr>
        <w:spacing w:before="93" w:beforeLines="30" w:after="218" w:afterLines="70" w:line="540" w:lineRule="exact"/>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所投包号：</w:t>
      </w:r>
    </w:p>
    <w:p>
      <w:pPr>
        <w:spacing w:before="93" w:beforeLines="30" w:after="218" w:afterLines="70" w:line="540" w:lineRule="exact"/>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投标单位名称：（公章）</w:t>
      </w:r>
    </w:p>
    <w:p>
      <w:pPr>
        <w:spacing w:before="93" w:beforeLines="30" w:after="218" w:afterLines="70" w:line="540" w:lineRule="exact"/>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法定代表人：（签字或盖章）</w:t>
      </w:r>
    </w:p>
    <w:p>
      <w:pPr>
        <w:spacing w:before="93" w:beforeLines="30" w:after="218" w:afterLines="70" w:line="540" w:lineRule="exact"/>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或投标人代表：（签字或盖章）</w:t>
      </w:r>
    </w:p>
    <w:p>
      <w:pPr>
        <w:spacing w:line="480" w:lineRule="exact"/>
        <w:jc w:val="both"/>
        <w:outlineLvl w:val="2"/>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sz w:val="34"/>
          <w:szCs w:val="34"/>
        </w:rPr>
        <w:t>磋商日期：   年   月  日</w:t>
      </w:r>
    </w:p>
    <w:p>
      <w:pPr>
        <w:tabs>
          <w:tab w:val="left" w:pos="360"/>
        </w:tabs>
        <w:spacing w:line="560" w:lineRule="exact"/>
        <w:jc w:val="both"/>
        <w:rPr>
          <w:rFonts w:hint="eastAsia" w:asciiTheme="majorEastAsia" w:hAnsiTheme="majorEastAsia" w:eastAsiaTheme="majorEastAsia" w:cstheme="majorEastAsia"/>
          <w:b w:val="0"/>
          <w:bCs/>
          <w:sz w:val="24"/>
          <w:szCs w:val="24"/>
        </w:rPr>
      </w:pPr>
      <w:bookmarkStart w:id="83" w:name="_Toc7058_WPSOffice_Level1"/>
      <w:bookmarkStart w:id="84" w:name="_Toc27556_WPSOffice_Level1"/>
      <w:r>
        <w:rPr>
          <w:rFonts w:hint="eastAsia" w:asciiTheme="majorEastAsia" w:hAnsiTheme="majorEastAsia" w:eastAsiaTheme="majorEastAsia" w:cstheme="majorEastAsia"/>
          <w:b w:val="0"/>
          <w:bCs/>
          <w:sz w:val="24"/>
          <w:szCs w:val="24"/>
        </w:rPr>
        <w:t>说 明</w:t>
      </w:r>
      <w:bookmarkEnd w:id="83"/>
      <w:bookmarkEnd w:id="84"/>
    </w:p>
    <w:p>
      <w:pPr>
        <w:pStyle w:val="33"/>
        <w:numPr>
          <w:ilvl w:val="0"/>
          <w:numId w:val="2"/>
        </w:numPr>
        <w:tabs>
          <w:tab w:val="left" w:pos="360"/>
        </w:tabs>
        <w:spacing w:line="560" w:lineRule="exact"/>
        <w:ind w:firstLineChars="0"/>
        <w:jc w:val="lef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竞争性磋商文件是投标人在投标截止时间前提交的资格、技术、商务文件。</w:t>
      </w:r>
    </w:p>
    <w:p>
      <w:pPr>
        <w:pStyle w:val="33"/>
        <w:numPr>
          <w:ilvl w:val="0"/>
          <w:numId w:val="2"/>
        </w:numPr>
        <w:tabs>
          <w:tab w:val="left" w:pos="360"/>
        </w:tabs>
        <w:spacing w:line="560" w:lineRule="exact"/>
        <w:ind w:firstLineChars="0"/>
        <w:jc w:val="lef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竞争性磋商文件按照资格、技术、商务装订成册、密封</w:t>
      </w:r>
      <w:r>
        <w:rPr>
          <w:rFonts w:hint="eastAsia" w:asciiTheme="majorEastAsia" w:hAnsiTheme="majorEastAsia" w:eastAsiaTheme="majorEastAsia" w:cstheme="majorEastAsia"/>
          <w:b/>
          <w:sz w:val="24"/>
          <w:lang w:eastAsia="zh-CN"/>
        </w:rPr>
        <w:t>，一正三副。</w:t>
      </w:r>
    </w:p>
    <w:p>
      <w:pPr>
        <w:pStyle w:val="33"/>
        <w:numPr>
          <w:ilvl w:val="0"/>
          <w:numId w:val="2"/>
        </w:numPr>
        <w:tabs>
          <w:tab w:val="left" w:pos="360"/>
        </w:tabs>
        <w:spacing w:line="560" w:lineRule="exact"/>
        <w:ind w:firstLineChars="0"/>
        <w:jc w:val="lef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竞争性磋商文件不得包含磋商价格及任何与磋商价格相关的内容或暗示。</w:t>
      </w:r>
    </w:p>
    <w:p>
      <w:pPr>
        <w:widowControl/>
        <w:ind w:left="0" w:leftChars="0" w:firstLine="0" w:firstLineChars="0"/>
        <w:jc w:val="center"/>
        <w:outlineLvl w:val="1"/>
        <w:rPr>
          <w:rFonts w:hint="eastAsia" w:asciiTheme="majorEastAsia" w:hAnsiTheme="majorEastAsia" w:eastAsiaTheme="majorEastAsia" w:cstheme="majorEastAsia"/>
          <w:b/>
          <w:sz w:val="32"/>
          <w:szCs w:val="32"/>
        </w:rPr>
      </w:pPr>
      <w:bookmarkStart w:id="85" w:name="_Toc8972_WPSOffice_Level1"/>
      <w:bookmarkStart w:id="86" w:name="_Toc20723_WPSOffice_Level1"/>
      <w:r>
        <w:rPr>
          <w:rFonts w:hint="eastAsia" w:asciiTheme="majorEastAsia" w:hAnsiTheme="majorEastAsia" w:eastAsiaTheme="majorEastAsia" w:cstheme="majorEastAsia"/>
          <w:b/>
          <w:sz w:val="32"/>
          <w:szCs w:val="32"/>
        </w:rPr>
        <w:t>投 标 书</w:t>
      </w:r>
      <w:bookmarkEnd w:id="85"/>
      <w:bookmarkEnd w:id="86"/>
    </w:p>
    <w:p>
      <w:pPr>
        <w:spacing w:line="240" w:lineRule="auto"/>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致：</w:t>
      </w:r>
      <w:r>
        <w:rPr>
          <w:rFonts w:hint="eastAsia" w:asciiTheme="majorEastAsia" w:hAnsiTheme="majorEastAsia" w:eastAsiaTheme="majorEastAsia" w:cstheme="majorEastAsia"/>
          <w:sz w:val="24"/>
          <w:lang w:eastAsia="zh-CN"/>
        </w:rPr>
        <w:t>天津同力源工程咨询有限公司</w:t>
      </w:r>
    </w:p>
    <w:p>
      <w:pPr>
        <w:spacing w:line="24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根据贵方</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项目（项目编号：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）的竞争性磋商邀请，投标人代表</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（姓名</w:t>
      </w:r>
      <w:r>
        <w:rPr>
          <w:rFonts w:hint="eastAsia" w:asciiTheme="majorEastAsia" w:hAnsiTheme="majorEastAsia" w:eastAsiaTheme="majorEastAsia" w:cstheme="majorEastAsia"/>
          <w:sz w:val="24"/>
          <w:lang w:val="en-GB"/>
        </w:rPr>
        <w:t>/</w:t>
      </w:r>
      <w:r>
        <w:rPr>
          <w:rFonts w:hint="eastAsia" w:asciiTheme="majorEastAsia" w:hAnsiTheme="majorEastAsia" w:eastAsiaTheme="majorEastAsia" w:cstheme="majorEastAsia"/>
          <w:sz w:val="24"/>
        </w:rPr>
        <w:t>职务）经正式授权并代表投标人</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（投标人名称、地址）提交下述文件正本</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份、副本</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份。投标文件电子版（office格式）光盘</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份</w:t>
      </w:r>
    </w:p>
    <w:p>
      <w:pPr>
        <w:spacing w:line="240" w:lineRule="auto"/>
        <w:ind w:firstLine="120" w:firstLineChars="50"/>
        <w:jc w:val="left"/>
        <w:outlineLvl w:val="0"/>
        <w:rPr>
          <w:rFonts w:hint="eastAsia" w:asciiTheme="majorEastAsia" w:hAnsiTheme="majorEastAsia" w:eastAsiaTheme="majorEastAsia" w:cstheme="majorEastAsia"/>
          <w:sz w:val="24"/>
        </w:rPr>
      </w:pPr>
      <w:bookmarkStart w:id="87" w:name="_Toc10921_WPSOffice_Level1"/>
      <w:bookmarkStart w:id="88" w:name="_Toc2623_WPSOffice_Level1"/>
      <w:r>
        <w:rPr>
          <w:rFonts w:hint="eastAsia" w:asciiTheme="majorEastAsia" w:hAnsiTheme="majorEastAsia" w:eastAsiaTheme="majorEastAsia" w:cstheme="majorEastAsia"/>
          <w:sz w:val="24"/>
        </w:rPr>
        <w:t>一．资信文件</w:t>
      </w:r>
      <w:bookmarkEnd w:id="87"/>
      <w:bookmarkEnd w:id="88"/>
    </w:p>
    <w:p>
      <w:pPr>
        <w:spacing w:line="240" w:lineRule="auto"/>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 营业执照副本、税务登记证、组织机构代码证（或三证合一）复印件。</w:t>
      </w:r>
    </w:p>
    <w:p>
      <w:pPr>
        <w:spacing w:line="240" w:lineRule="auto"/>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 法定代表人授权书+法人及被授权人身份证明复印件。</w:t>
      </w:r>
    </w:p>
    <w:p>
      <w:pPr>
        <w:spacing w:line="240" w:lineRule="auto"/>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 近一年审计过的财务报告（含报表）；或投标人基本开户银行出具的资信证明。</w:t>
      </w:r>
    </w:p>
    <w:p>
      <w:pPr>
        <w:spacing w:line="240" w:lineRule="auto"/>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 近三个月的依法缴纳税收和社会保障资金的证明材料。</w:t>
      </w:r>
    </w:p>
    <w:p>
      <w:pPr>
        <w:spacing w:line="240" w:lineRule="auto"/>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 参加政府采购活动前三年内，在经营活动中没有重大违法记录的书面声明。</w:t>
      </w:r>
    </w:p>
    <w:p>
      <w:pPr>
        <w:spacing w:line="240" w:lineRule="auto"/>
        <w:ind w:firstLine="360" w:firstLineChars="1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（其他补充文件）..........</w:t>
      </w:r>
    </w:p>
    <w:p>
      <w:pPr>
        <w:pStyle w:val="33"/>
        <w:numPr>
          <w:ilvl w:val="0"/>
          <w:numId w:val="3"/>
        </w:numPr>
        <w:spacing w:line="240" w:lineRule="auto"/>
        <w:ind w:firstLineChars="0"/>
        <w:jc w:val="left"/>
        <w:outlineLvl w:val="0"/>
        <w:rPr>
          <w:rFonts w:hint="eastAsia" w:asciiTheme="majorEastAsia" w:hAnsiTheme="majorEastAsia" w:eastAsiaTheme="majorEastAsia" w:cstheme="majorEastAsia"/>
          <w:sz w:val="24"/>
        </w:rPr>
      </w:pPr>
      <w:bookmarkStart w:id="89" w:name="_Toc2975_WPSOffice_Level1"/>
      <w:bookmarkStart w:id="90" w:name="_Toc26141_WPSOffice_Level1"/>
      <w:r>
        <w:rPr>
          <w:rFonts w:hint="eastAsia" w:asciiTheme="majorEastAsia" w:hAnsiTheme="majorEastAsia" w:eastAsiaTheme="majorEastAsia" w:cstheme="majorEastAsia"/>
          <w:sz w:val="24"/>
        </w:rPr>
        <w:t>技术文件</w:t>
      </w:r>
      <w:bookmarkEnd w:id="89"/>
      <w:bookmarkEnd w:id="90"/>
    </w:p>
    <w:p>
      <w:pPr>
        <w:spacing w:line="240" w:lineRule="auto"/>
        <w:ind w:firstLine="480" w:firstLineChars="200"/>
        <w:jc w:val="left"/>
        <w:outlineLvl w:val="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 磋商一览表+磋商分项一览表（不含报价）。</w:t>
      </w:r>
    </w:p>
    <w:p>
      <w:pPr>
        <w:spacing w:line="240" w:lineRule="auto"/>
        <w:ind w:firstLine="480" w:firstLineChars="200"/>
        <w:jc w:val="left"/>
        <w:outlineLvl w:val="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 投标项目点对点应答表。</w:t>
      </w:r>
    </w:p>
    <w:p>
      <w:pPr>
        <w:spacing w:line="240" w:lineRule="auto"/>
        <w:ind w:firstLine="480" w:firstLineChars="200"/>
        <w:jc w:val="left"/>
        <w:outlineLvl w:val="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 响应技术审查要求的内容。</w:t>
      </w:r>
    </w:p>
    <w:p>
      <w:pPr>
        <w:spacing w:line="240" w:lineRule="auto"/>
        <w:ind w:firstLine="360" w:firstLineChars="1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（其他补充文件）..........</w:t>
      </w:r>
    </w:p>
    <w:p>
      <w:pPr>
        <w:pStyle w:val="33"/>
        <w:numPr>
          <w:ilvl w:val="0"/>
          <w:numId w:val="3"/>
        </w:numPr>
        <w:spacing w:line="240" w:lineRule="auto"/>
        <w:ind w:firstLineChars="0"/>
        <w:jc w:val="left"/>
        <w:outlineLvl w:val="0"/>
        <w:rPr>
          <w:rFonts w:hint="eastAsia" w:asciiTheme="majorEastAsia" w:hAnsiTheme="majorEastAsia" w:eastAsiaTheme="majorEastAsia" w:cstheme="majorEastAsia"/>
          <w:sz w:val="24"/>
        </w:rPr>
      </w:pPr>
      <w:bookmarkStart w:id="91" w:name="_Toc19336_WPSOffice_Level1"/>
      <w:bookmarkStart w:id="92" w:name="_Toc12526_WPSOffice_Level1"/>
      <w:r>
        <w:rPr>
          <w:rFonts w:hint="eastAsia" w:asciiTheme="majorEastAsia" w:hAnsiTheme="majorEastAsia" w:eastAsiaTheme="majorEastAsia" w:cstheme="majorEastAsia"/>
          <w:sz w:val="24"/>
        </w:rPr>
        <w:t>商务文件</w:t>
      </w:r>
      <w:bookmarkEnd w:id="91"/>
      <w:bookmarkEnd w:id="92"/>
    </w:p>
    <w:p>
      <w:pPr>
        <w:spacing w:line="240" w:lineRule="auto"/>
        <w:jc w:val="left"/>
        <w:outlineLvl w:val="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 近三年主要相关业绩一览表</w:t>
      </w:r>
    </w:p>
    <w:p>
      <w:pPr>
        <w:spacing w:line="240" w:lineRule="auto"/>
        <w:ind w:firstLine="480" w:firstLineChars="200"/>
        <w:jc w:val="left"/>
        <w:outlineLvl w:val="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 售后服务承诺及培训内容</w:t>
      </w:r>
    </w:p>
    <w:p>
      <w:pPr>
        <w:spacing w:line="240" w:lineRule="auto"/>
        <w:ind w:firstLine="480" w:firstLineChars="200"/>
        <w:jc w:val="left"/>
        <w:outlineLvl w:val="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 标前承诺书</w:t>
      </w:r>
    </w:p>
    <w:p>
      <w:pPr>
        <w:spacing w:line="240" w:lineRule="auto"/>
        <w:ind w:firstLine="360" w:firstLineChars="1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（其他补充文件）..........</w:t>
      </w:r>
    </w:p>
    <w:p>
      <w:pPr>
        <w:spacing w:line="24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据此函，签字代表宣布同意如下：</w:t>
      </w:r>
    </w:p>
    <w:p>
      <w:pPr>
        <w:spacing w:line="24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 投标人将按竞争性磋商文件的规定履行合同责任和义务。</w:t>
      </w:r>
    </w:p>
    <w:p>
      <w:pPr>
        <w:spacing w:line="24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 投标人已详细审查全部竞争性磋商文件，包括更正公告以及全部参考资料和所有附件。我们完全理解并认为本竞争性磋商文件公平、公正，不存在倾向性内容。</w:t>
      </w:r>
    </w:p>
    <w:p>
      <w:pPr>
        <w:spacing w:line="24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 本项目自磋商之日起有效期为60日。</w:t>
      </w:r>
    </w:p>
    <w:p>
      <w:pPr>
        <w:spacing w:line="24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 磋商开始后，如投标人在磋商有效期内撤回投标文件，其投标保证金将被采购代理机构没收。</w:t>
      </w:r>
    </w:p>
    <w:p>
      <w:pPr>
        <w:spacing w:line="24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 投标人同意提供按照采购代理机构可能要求的与竞争性磋商有关的一切数据或资料，完全理解采购代理机构不一定要接受最低价的投标或收到的任何投标。</w:t>
      </w:r>
    </w:p>
    <w:p>
      <w:pPr>
        <w:spacing w:line="24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6.与本磋商有关的一切正式往来通讯请寄：</w:t>
      </w:r>
    </w:p>
    <w:p>
      <w:pPr>
        <w:spacing w:line="240" w:lineRule="auto"/>
        <w:ind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地    址：</w:t>
      </w:r>
    </w:p>
    <w:p>
      <w:pPr>
        <w:spacing w:line="240" w:lineRule="auto"/>
        <w:ind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邮政编码：</w:t>
      </w:r>
    </w:p>
    <w:p>
      <w:pPr>
        <w:spacing w:line="240" w:lineRule="auto"/>
        <w:ind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电    话：</w:t>
      </w:r>
    </w:p>
    <w:p>
      <w:pPr>
        <w:spacing w:line="240" w:lineRule="auto"/>
        <w:ind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传    真：</w:t>
      </w:r>
    </w:p>
    <w:p>
      <w:pPr>
        <w:spacing w:line="240" w:lineRule="auto"/>
        <w:ind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投标人代表姓名、职务：</w:t>
      </w:r>
    </w:p>
    <w:p>
      <w:pPr>
        <w:spacing w:line="240" w:lineRule="auto"/>
        <w:ind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p>
    <w:p>
      <w:pPr>
        <w:spacing w:line="240" w:lineRule="auto"/>
        <w:ind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日期：     年    月    日  </w:t>
      </w:r>
    </w:p>
    <w:p>
      <w:pPr>
        <w:spacing w:line="240" w:lineRule="auto"/>
        <w:ind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p>
    <w:p>
      <w:pPr>
        <w:widowControl/>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sz w:val="24"/>
        </w:rPr>
        <w:br w:type="page"/>
      </w:r>
      <w:bookmarkStart w:id="93" w:name="_Toc17632_WPSOffice_Level1"/>
      <w:bookmarkStart w:id="94" w:name="_Toc5164_WPSOffice_Level1"/>
      <w:r>
        <w:rPr>
          <w:rFonts w:hint="eastAsia" w:asciiTheme="majorEastAsia" w:hAnsiTheme="majorEastAsia" w:eastAsiaTheme="majorEastAsia" w:cstheme="majorEastAsia"/>
          <w:b/>
          <w:sz w:val="32"/>
          <w:szCs w:val="32"/>
        </w:rPr>
        <w:t>资格文件</w:t>
      </w:r>
      <w:bookmarkEnd w:id="93"/>
      <w:bookmarkEnd w:id="94"/>
    </w:p>
    <w:p>
      <w:pPr>
        <w:widowControl/>
        <w:ind w:firstLine="1680" w:firstLineChars="7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24"/>
          <w:szCs w:val="24"/>
        </w:rPr>
        <w:t>（需按竞争性磋商文件要求提供，且加盖公章</w:t>
      </w:r>
      <w:r>
        <w:rPr>
          <w:rFonts w:hint="eastAsia" w:asciiTheme="majorEastAsia" w:hAnsiTheme="majorEastAsia" w:eastAsiaTheme="majorEastAsia" w:cstheme="majorEastAsia"/>
          <w:sz w:val="32"/>
          <w:szCs w:val="32"/>
        </w:rPr>
        <w:t>）</w:t>
      </w:r>
    </w:p>
    <w:p>
      <w:pPr>
        <w:widowControl/>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br w:type="page"/>
      </w:r>
      <w:bookmarkStart w:id="95" w:name="_Toc18766_WPSOffice_Level1"/>
      <w:bookmarkStart w:id="96" w:name="_Toc17043_WPSOffice_Level1"/>
      <w:r>
        <w:rPr>
          <w:rFonts w:hint="eastAsia" w:asciiTheme="majorEastAsia" w:hAnsiTheme="majorEastAsia" w:eastAsiaTheme="majorEastAsia" w:cstheme="majorEastAsia"/>
          <w:b/>
          <w:sz w:val="32"/>
          <w:szCs w:val="32"/>
        </w:rPr>
        <w:t>法定代表人授权书</w:t>
      </w:r>
      <w:bookmarkEnd w:id="95"/>
      <w:bookmarkEnd w:id="96"/>
    </w:p>
    <w:p>
      <w:pPr>
        <w:spacing w:line="480" w:lineRule="auto"/>
        <w:rPr>
          <w:rFonts w:hint="eastAsia" w:asciiTheme="majorEastAsia" w:hAnsiTheme="majorEastAsia" w:eastAsiaTheme="majorEastAsia" w:cstheme="majorEastAsia"/>
          <w:sz w:val="24"/>
        </w:rPr>
      </w:pPr>
    </w:p>
    <w:p>
      <w:pPr>
        <w:spacing w:line="480" w:lineRule="auto"/>
        <w:ind w:firstLine="600" w:firstLineChars="2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兹授权我单位</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（投标人代表姓名），身份证号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代表</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（投标人名称）进行</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项目（项目编号：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）的磋商，此授权至</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日有效，特此证明。</w:t>
      </w:r>
    </w:p>
    <w:p>
      <w:pPr>
        <w:spacing w:line="480" w:lineRule="auto"/>
        <w:ind w:right="480" w:firstLine="424" w:firstLineChars="177"/>
        <w:rPr>
          <w:rFonts w:hint="eastAsia" w:asciiTheme="majorEastAsia" w:hAnsiTheme="majorEastAsia" w:eastAsiaTheme="majorEastAsia" w:cstheme="majorEastAsia"/>
          <w:sz w:val="24"/>
        </w:rPr>
      </w:pPr>
    </w:p>
    <w:p>
      <w:pPr>
        <w:spacing w:line="480" w:lineRule="auto"/>
        <w:ind w:right="480"/>
        <w:rPr>
          <w:rFonts w:hint="eastAsia" w:asciiTheme="majorEastAsia" w:hAnsiTheme="majorEastAsia" w:eastAsiaTheme="majorEastAsia" w:cstheme="majorEastAsia"/>
          <w:sz w:val="24"/>
        </w:rPr>
      </w:pPr>
    </w:p>
    <w:p>
      <w:pPr>
        <w:spacing w:line="480" w:lineRule="auto"/>
        <w:ind w:right="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p>
    <w:p>
      <w:pPr>
        <w:spacing w:line="480" w:lineRule="auto"/>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法定代表人签字或盖章：</w:t>
      </w:r>
    </w:p>
    <w:p>
      <w:pPr>
        <w:spacing w:line="480" w:lineRule="auto"/>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年  月  日  </w:t>
      </w:r>
    </w:p>
    <w:p>
      <w:pPr>
        <w:spacing w:line="480" w:lineRule="auto"/>
        <w:rPr>
          <w:rFonts w:hint="eastAsia" w:asciiTheme="majorEastAsia" w:hAnsiTheme="majorEastAsia" w:eastAsiaTheme="majorEastAsia" w:cstheme="majorEastAsia"/>
          <w:sz w:val="24"/>
        </w:rPr>
      </w:pPr>
    </w:p>
    <w:p>
      <w:pPr>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sz w:val="24"/>
        </w:rPr>
        <w:br w:type="page"/>
      </w:r>
      <w:bookmarkStart w:id="97" w:name="_Toc1381_WPSOffice_Level1"/>
      <w:bookmarkStart w:id="98" w:name="_Toc22418_WPSOffice_Level1"/>
      <w:r>
        <w:rPr>
          <w:rFonts w:hint="eastAsia" w:asciiTheme="majorEastAsia" w:hAnsiTheme="majorEastAsia" w:eastAsiaTheme="majorEastAsia" w:cstheme="majorEastAsia"/>
          <w:b/>
          <w:sz w:val="32"/>
          <w:szCs w:val="32"/>
        </w:rPr>
        <w:t>法人代表资格证明书</w:t>
      </w:r>
      <w:bookmarkEnd w:id="97"/>
      <w:bookmarkEnd w:id="98"/>
    </w:p>
    <w:p>
      <w:pPr>
        <w:rPr>
          <w:rFonts w:hint="eastAsia" w:asciiTheme="majorEastAsia" w:hAnsiTheme="majorEastAsia" w:eastAsiaTheme="majorEastAsia" w:cstheme="majorEastAsia"/>
          <w:sz w:val="32"/>
          <w:szCs w:val="32"/>
        </w:rPr>
      </w:pPr>
    </w:p>
    <w:p>
      <w:pPr>
        <w:spacing w:line="480" w:lineRule="auto"/>
        <w:ind w:firstLine="600" w:firstLineChars="2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兹授权我单位</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（法人姓名），身份证号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，为</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（投标人名称）法定代表人，代表</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（投标人名称）参加</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项目（项目编号：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）的投标活动，特此证明。</w:t>
      </w:r>
    </w:p>
    <w:p>
      <w:pPr>
        <w:spacing w:line="800" w:lineRule="exact"/>
        <w:ind w:firstLine="630"/>
        <w:rPr>
          <w:rFonts w:hint="eastAsia" w:asciiTheme="majorEastAsia" w:hAnsiTheme="majorEastAsia" w:eastAsiaTheme="majorEastAsia" w:cstheme="majorEastAsia"/>
          <w:sz w:val="32"/>
          <w:szCs w:val="32"/>
        </w:rPr>
      </w:pPr>
    </w:p>
    <w:p>
      <w:pPr>
        <w:spacing w:line="800" w:lineRule="exact"/>
        <w:ind w:firstLine="630"/>
        <w:rPr>
          <w:rFonts w:hint="eastAsia" w:asciiTheme="majorEastAsia" w:hAnsiTheme="majorEastAsia" w:eastAsiaTheme="majorEastAsia" w:cstheme="majorEastAsia"/>
          <w:sz w:val="32"/>
          <w:szCs w:val="32"/>
        </w:rPr>
      </w:pPr>
    </w:p>
    <w:p>
      <w:pPr>
        <w:spacing w:line="480" w:lineRule="auto"/>
        <w:ind w:right="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p>
    <w:p>
      <w:pPr>
        <w:spacing w:line="480" w:lineRule="auto"/>
        <w:ind w:right="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法定代表签字：</w:t>
      </w:r>
    </w:p>
    <w:p>
      <w:pPr>
        <w:spacing w:line="48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年  月  日  </w:t>
      </w:r>
    </w:p>
    <w:p>
      <w:pPr>
        <w:spacing w:line="800" w:lineRule="exact"/>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(法人代表参与投标时需提供此证明书)</w:t>
      </w:r>
    </w:p>
    <w:p>
      <w:pPr>
        <w:widowControl/>
        <w:jc w:val="center"/>
        <w:outlineLvl w:val="1"/>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sz w:val="24"/>
        </w:rPr>
        <w:br w:type="page"/>
      </w:r>
      <w:bookmarkStart w:id="99" w:name="_Toc21328_WPSOffice_Level1"/>
      <w:bookmarkStart w:id="100" w:name="_Toc3977_WPSOffice_Level1"/>
      <w:r>
        <w:rPr>
          <w:rFonts w:hint="eastAsia" w:asciiTheme="majorEastAsia" w:hAnsiTheme="majorEastAsia" w:eastAsiaTheme="majorEastAsia" w:cstheme="majorEastAsia"/>
          <w:b/>
          <w:sz w:val="32"/>
          <w:szCs w:val="32"/>
        </w:rPr>
        <w:t>项目联络人</w:t>
      </w:r>
      <w:bookmarkEnd w:id="99"/>
      <w:bookmarkEnd w:id="100"/>
    </w:p>
    <w:p>
      <w:pPr>
        <w:spacing w:line="300" w:lineRule="auto"/>
        <w:rPr>
          <w:rFonts w:hint="eastAsia" w:asciiTheme="majorEastAsia" w:hAnsiTheme="majorEastAsia" w:eastAsiaTheme="majorEastAsia" w:cstheme="majorEastAsia"/>
          <w:b/>
          <w:bCs/>
          <w:sz w:val="28"/>
          <w:szCs w:val="28"/>
        </w:rPr>
      </w:pPr>
    </w:p>
    <w:p>
      <w:pPr>
        <w:spacing w:line="480" w:lineRule="auto"/>
        <w:ind w:firstLine="600" w:firstLineChars="2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兹授权我单位</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（联络人姓名），身份证号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代表</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（投标人名称）为</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）的项目的直接联络人，负责与采购单位相关负责人进行的工作对接及协调，此授权至</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日有效，特此证明。</w:t>
      </w:r>
    </w:p>
    <w:p>
      <w:pPr>
        <w:spacing w:line="480" w:lineRule="auto"/>
        <w:ind w:firstLine="600" w:firstLineChars="2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spacing w:line="480" w:lineRule="auto"/>
        <w:ind w:firstLine="600" w:firstLineChars="2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项目联络人：                  </w:t>
      </w:r>
    </w:p>
    <w:p>
      <w:pPr>
        <w:spacing w:line="480" w:lineRule="auto"/>
        <w:ind w:firstLine="600" w:firstLineChars="2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联系电话：                </w:t>
      </w:r>
    </w:p>
    <w:p>
      <w:pPr>
        <w:spacing w:line="480" w:lineRule="auto"/>
        <w:ind w:firstLine="600" w:firstLineChars="250"/>
        <w:jc w:val="left"/>
        <w:rPr>
          <w:rFonts w:hint="eastAsia" w:asciiTheme="majorEastAsia" w:hAnsiTheme="majorEastAsia" w:eastAsiaTheme="majorEastAsia" w:cstheme="majorEastAsia"/>
          <w:sz w:val="24"/>
        </w:rPr>
      </w:pPr>
    </w:p>
    <w:p>
      <w:pPr>
        <w:spacing w:line="480" w:lineRule="auto"/>
        <w:ind w:firstLine="600" w:firstLineChars="2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p>
    <w:p>
      <w:pPr>
        <w:spacing w:line="480" w:lineRule="auto"/>
        <w:ind w:firstLine="600" w:firstLineChars="2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法定代表人签字或盖章：</w:t>
      </w:r>
    </w:p>
    <w:p>
      <w:pPr>
        <w:widowControl/>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br w:type="page"/>
      </w:r>
      <w:bookmarkStart w:id="101" w:name="_Toc833_WPSOffice_Level1"/>
      <w:bookmarkStart w:id="102" w:name="_Toc16614_WPSOffice_Level1"/>
      <w:r>
        <w:rPr>
          <w:rFonts w:hint="eastAsia" w:asciiTheme="majorEastAsia" w:hAnsiTheme="majorEastAsia" w:eastAsiaTheme="majorEastAsia" w:cstheme="majorEastAsia"/>
          <w:b/>
          <w:sz w:val="32"/>
          <w:szCs w:val="32"/>
        </w:rPr>
        <w:t>磋商一览表</w:t>
      </w:r>
      <w:bookmarkEnd w:id="101"/>
      <w:bookmarkEnd w:id="102"/>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包号：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tbl>
      <w:tblPr>
        <w:tblStyle w:val="17"/>
        <w:tblW w:w="9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2495"/>
        <w:gridCol w:w="1003"/>
        <w:gridCol w:w="2376"/>
        <w:gridCol w:w="795"/>
        <w:gridCol w:w="1129"/>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eastAsia="zh-CN"/>
              </w:rPr>
              <w:t>序号</w:t>
            </w:r>
          </w:p>
        </w:tc>
        <w:tc>
          <w:tcPr>
            <w:tcW w:w="2495"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名称</w:t>
            </w:r>
          </w:p>
        </w:tc>
        <w:tc>
          <w:tcPr>
            <w:tcW w:w="1003"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服务期</w:t>
            </w:r>
          </w:p>
        </w:tc>
        <w:tc>
          <w:tcPr>
            <w:tcW w:w="2376"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服务内容</w:t>
            </w:r>
          </w:p>
        </w:tc>
        <w:tc>
          <w:tcPr>
            <w:tcW w:w="795"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w:t>
            </w:r>
          </w:p>
        </w:tc>
        <w:tc>
          <w:tcPr>
            <w:tcW w:w="1129"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服务地点</w:t>
            </w:r>
          </w:p>
        </w:tc>
        <w:tc>
          <w:tcPr>
            <w:tcW w:w="731"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spacing w:line="460" w:lineRule="exact"/>
              <w:ind w:left="0" w:leftChars="0" w:firstLine="0" w:firstLineChars="0"/>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1</w:t>
            </w:r>
          </w:p>
        </w:tc>
        <w:tc>
          <w:tcPr>
            <w:tcW w:w="2495" w:type="dxa"/>
            <w:vAlign w:val="center"/>
          </w:tcPr>
          <w:p>
            <w:pPr>
              <w:spacing w:line="460" w:lineRule="exact"/>
              <w:jc w:val="center"/>
              <w:rPr>
                <w:rFonts w:hint="eastAsia" w:asciiTheme="majorEastAsia" w:hAnsiTheme="majorEastAsia" w:eastAsiaTheme="majorEastAsia" w:cstheme="majorEastAsia"/>
                <w:sz w:val="24"/>
              </w:rPr>
            </w:pPr>
          </w:p>
        </w:tc>
        <w:tc>
          <w:tcPr>
            <w:tcW w:w="1003" w:type="dxa"/>
            <w:vAlign w:val="center"/>
          </w:tcPr>
          <w:p>
            <w:pPr>
              <w:spacing w:line="460" w:lineRule="exact"/>
              <w:jc w:val="center"/>
              <w:rPr>
                <w:rFonts w:hint="eastAsia" w:asciiTheme="majorEastAsia" w:hAnsiTheme="majorEastAsia" w:eastAsiaTheme="majorEastAsia" w:cstheme="majorEastAsia"/>
                <w:sz w:val="24"/>
              </w:rPr>
            </w:pPr>
          </w:p>
        </w:tc>
        <w:tc>
          <w:tcPr>
            <w:tcW w:w="2376" w:type="dxa"/>
            <w:vAlign w:val="center"/>
          </w:tcPr>
          <w:p>
            <w:pPr>
              <w:spacing w:line="460" w:lineRule="exact"/>
              <w:jc w:val="center"/>
              <w:rPr>
                <w:rFonts w:hint="eastAsia" w:asciiTheme="majorEastAsia" w:hAnsiTheme="majorEastAsia" w:eastAsiaTheme="majorEastAsia" w:cstheme="majorEastAsia"/>
                <w:sz w:val="24"/>
              </w:rPr>
            </w:pPr>
          </w:p>
        </w:tc>
        <w:tc>
          <w:tcPr>
            <w:tcW w:w="795" w:type="dxa"/>
            <w:vAlign w:val="center"/>
          </w:tcPr>
          <w:p>
            <w:pPr>
              <w:spacing w:line="460" w:lineRule="exact"/>
              <w:jc w:val="center"/>
              <w:rPr>
                <w:rFonts w:hint="eastAsia" w:asciiTheme="majorEastAsia" w:hAnsiTheme="majorEastAsia" w:eastAsiaTheme="majorEastAsia" w:cstheme="majorEastAsia"/>
                <w:sz w:val="24"/>
              </w:rPr>
            </w:pPr>
          </w:p>
        </w:tc>
        <w:tc>
          <w:tcPr>
            <w:tcW w:w="1129" w:type="dxa"/>
            <w:vAlign w:val="center"/>
          </w:tcPr>
          <w:p>
            <w:pPr>
              <w:spacing w:line="460" w:lineRule="exact"/>
              <w:jc w:val="center"/>
              <w:rPr>
                <w:rFonts w:hint="eastAsia" w:asciiTheme="majorEastAsia" w:hAnsiTheme="majorEastAsia" w:eastAsiaTheme="majorEastAsia" w:cstheme="majorEastAsia"/>
                <w:sz w:val="24"/>
              </w:rPr>
            </w:pPr>
          </w:p>
        </w:tc>
        <w:tc>
          <w:tcPr>
            <w:tcW w:w="731" w:type="dxa"/>
            <w:vAlign w:val="center"/>
          </w:tcPr>
          <w:p>
            <w:pPr>
              <w:spacing w:line="460" w:lineRule="exact"/>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tabs>
                <w:tab w:val="center" w:pos="213"/>
              </w:tabs>
              <w:spacing w:line="460" w:lineRule="exact"/>
              <w:ind w:left="0" w:leftChars="0" w:firstLine="0" w:firstLineChars="0"/>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2</w:t>
            </w:r>
          </w:p>
        </w:tc>
        <w:tc>
          <w:tcPr>
            <w:tcW w:w="2495" w:type="dxa"/>
          </w:tcPr>
          <w:p>
            <w:pPr>
              <w:spacing w:line="460" w:lineRule="exact"/>
              <w:rPr>
                <w:rFonts w:hint="eastAsia" w:asciiTheme="majorEastAsia" w:hAnsiTheme="majorEastAsia" w:eastAsiaTheme="majorEastAsia" w:cstheme="majorEastAsia"/>
                <w:sz w:val="24"/>
              </w:rPr>
            </w:pPr>
          </w:p>
        </w:tc>
        <w:tc>
          <w:tcPr>
            <w:tcW w:w="1003" w:type="dxa"/>
            <w:vAlign w:val="center"/>
          </w:tcPr>
          <w:p>
            <w:pPr>
              <w:spacing w:line="460" w:lineRule="exact"/>
              <w:jc w:val="center"/>
              <w:rPr>
                <w:rFonts w:hint="eastAsia" w:asciiTheme="majorEastAsia" w:hAnsiTheme="majorEastAsia" w:eastAsiaTheme="majorEastAsia" w:cstheme="majorEastAsia"/>
                <w:sz w:val="24"/>
              </w:rPr>
            </w:pPr>
          </w:p>
        </w:tc>
        <w:tc>
          <w:tcPr>
            <w:tcW w:w="2376" w:type="dxa"/>
          </w:tcPr>
          <w:p>
            <w:pPr>
              <w:spacing w:line="460" w:lineRule="exact"/>
              <w:rPr>
                <w:rFonts w:hint="eastAsia" w:asciiTheme="majorEastAsia" w:hAnsiTheme="majorEastAsia" w:eastAsiaTheme="majorEastAsia" w:cstheme="majorEastAsia"/>
                <w:sz w:val="24"/>
              </w:rPr>
            </w:pPr>
          </w:p>
        </w:tc>
        <w:tc>
          <w:tcPr>
            <w:tcW w:w="795" w:type="dxa"/>
          </w:tcPr>
          <w:p>
            <w:pPr>
              <w:spacing w:line="460" w:lineRule="exact"/>
              <w:rPr>
                <w:rFonts w:hint="eastAsia" w:asciiTheme="majorEastAsia" w:hAnsiTheme="majorEastAsia" w:eastAsiaTheme="majorEastAsia" w:cstheme="majorEastAsia"/>
                <w:sz w:val="24"/>
              </w:rPr>
            </w:pPr>
          </w:p>
        </w:tc>
        <w:tc>
          <w:tcPr>
            <w:tcW w:w="1129" w:type="dxa"/>
          </w:tcPr>
          <w:p>
            <w:pPr>
              <w:spacing w:line="460" w:lineRule="exact"/>
              <w:rPr>
                <w:rFonts w:hint="eastAsia" w:asciiTheme="majorEastAsia" w:hAnsiTheme="majorEastAsia" w:eastAsiaTheme="majorEastAsia" w:cstheme="majorEastAsia"/>
                <w:sz w:val="24"/>
              </w:rPr>
            </w:pPr>
          </w:p>
        </w:tc>
        <w:tc>
          <w:tcPr>
            <w:tcW w:w="731" w:type="dxa"/>
          </w:tcPr>
          <w:p>
            <w:pPr>
              <w:spacing w:line="460" w:lineRule="exact"/>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tabs>
                <w:tab w:val="center" w:pos="213"/>
              </w:tabs>
              <w:spacing w:line="460" w:lineRule="exact"/>
              <w:ind w:left="0" w:leftChars="0" w:firstLine="0" w:firstLineChars="0"/>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3</w:t>
            </w:r>
          </w:p>
        </w:tc>
        <w:tc>
          <w:tcPr>
            <w:tcW w:w="2495" w:type="dxa"/>
          </w:tcPr>
          <w:p>
            <w:pPr>
              <w:spacing w:line="460" w:lineRule="exact"/>
              <w:rPr>
                <w:rFonts w:hint="eastAsia" w:asciiTheme="majorEastAsia" w:hAnsiTheme="majorEastAsia" w:eastAsiaTheme="majorEastAsia" w:cstheme="majorEastAsia"/>
                <w:sz w:val="24"/>
              </w:rPr>
            </w:pPr>
          </w:p>
        </w:tc>
        <w:tc>
          <w:tcPr>
            <w:tcW w:w="1003" w:type="dxa"/>
            <w:vAlign w:val="center"/>
          </w:tcPr>
          <w:p>
            <w:pPr>
              <w:spacing w:line="460" w:lineRule="exact"/>
              <w:jc w:val="center"/>
              <w:rPr>
                <w:rFonts w:hint="eastAsia" w:asciiTheme="majorEastAsia" w:hAnsiTheme="majorEastAsia" w:eastAsiaTheme="majorEastAsia" w:cstheme="majorEastAsia"/>
                <w:sz w:val="24"/>
              </w:rPr>
            </w:pPr>
          </w:p>
        </w:tc>
        <w:tc>
          <w:tcPr>
            <w:tcW w:w="2376" w:type="dxa"/>
          </w:tcPr>
          <w:p>
            <w:pPr>
              <w:spacing w:line="460" w:lineRule="exact"/>
              <w:rPr>
                <w:rFonts w:hint="eastAsia" w:asciiTheme="majorEastAsia" w:hAnsiTheme="majorEastAsia" w:eastAsiaTheme="majorEastAsia" w:cstheme="majorEastAsia"/>
                <w:sz w:val="24"/>
              </w:rPr>
            </w:pPr>
          </w:p>
        </w:tc>
        <w:tc>
          <w:tcPr>
            <w:tcW w:w="795" w:type="dxa"/>
          </w:tcPr>
          <w:p>
            <w:pPr>
              <w:spacing w:line="460" w:lineRule="exact"/>
              <w:rPr>
                <w:rFonts w:hint="eastAsia" w:asciiTheme="majorEastAsia" w:hAnsiTheme="majorEastAsia" w:eastAsiaTheme="majorEastAsia" w:cstheme="majorEastAsia"/>
                <w:sz w:val="24"/>
              </w:rPr>
            </w:pPr>
          </w:p>
        </w:tc>
        <w:tc>
          <w:tcPr>
            <w:tcW w:w="1129" w:type="dxa"/>
          </w:tcPr>
          <w:p>
            <w:pPr>
              <w:spacing w:line="460" w:lineRule="exact"/>
              <w:rPr>
                <w:rFonts w:hint="eastAsia" w:asciiTheme="majorEastAsia" w:hAnsiTheme="majorEastAsia" w:eastAsiaTheme="majorEastAsia" w:cstheme="majorEastAsia"/>
                <w:sz w:val="24"/>
              </w:rPr>
            </w:pPr>
          </w:p>
        </w:tc>
        <w:tc>
          <w:tcPr>
            <w:tcW w:w="731" w:type="dxa"/>
          </w:tcPr>
          <w:p>
            <w:pPr>
              <w:spacing w:line="460" w:lineRule="exact"/>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spacing w:line="460" w:lineRule="exact"/>
              <w:ind w:left="0" w:leftChars="0" w:firstLine="0" w:firstLineChars="0"/>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w:t>
            </w:r>
          </w:p>
        </w:tc>
        <w:tc>
          <w:tcPr>
            <w:tcW w:w="2495" w:type="dxa"/>
          </w:tcPr>
          <w:p>
            <w:pPr>
              <w:spacing w:line="460" w:lineRule="exact"/>
              <w:rPr>
                <w:rFonts w:hint="eastAsia" w:asciiTheme="majorEastAsia" w:hAnsiTheme="majorEastAsia" w:eastAsiaTheme="majorEastAsia" w:cstheme="majorEastAsia"/>
                <w:sz w:val="24"/>
              </w:rPr>
            </w:pPr>
          </w:p>
        </w:tc>
        <w:tc>
          <w:tcPr>
            <w:tcW w:w="1003" w:type="dxa"/>
            <w:vAlign w:val="center"/>
          </w:tcPr>
          <w:p>
            <w:pPr>
              <w:spacing w:line="460" w:lineRule="exact"/>
              <w:jc w:val="center"/>
              <w:rPr>
                <w:rFonts w:hint="eastAsia" w:asciiTheme="majorEastAsia" w:hAnsiTheme="majorEastAsia" w:eastAsiaTheme="majorEastAsia" w:cstheme="majorEastAsia"/>
                <w:sz w:val="24"/>
              </w:rPr>
            </w:pPr>
          </w:p>
        </w:tc>
        <w:tc>
          <w:tcPr>
            <w:tcW w:w="2376" w:type="dxa"/>
          </w:tcPr>
          <w:p>
            <w:pPr>
              <w:spacing w:line="460" w:lineRule="exact"/>
              <w:rPr>
                <w:rFonts w:hint="eastAsia" w:asciiTheme="majorEastAsia" w:hAnsiTheme="majorEastAsia" w:eastAsiaTheme="majorEastAsia" w:cstheme="majorEastAsia"/>
                <w:sz w:val="24"/>
              </w:rPr>
            </w:pPr>
          </w:p>
        </w:tc>
        <w:tc>
          <w:tcPr>
            <w:tcW w:w="795" w:type="dxa"/>
          </w:tcPr>
          <w:p>
            <w:pPr>
              <w:spacing w:line="460" w:lineRule="exact"/>
              <w:rPr>
                <w:rFonts w:hint="eastAsia" w:asciiTheme="majorEastAsia" w:hAnsiTheme="majorEastAsia" w:eastAsiaTheme="majorEastAsia" w:cstheme="majorEastAsia"/>
                <w:sz w:val="24"/>
              </w:rPr>
            </w:pPr>
          </w:p>
        </w:tc>
        <w:tc>
          <w:tcPr>
            <w:tcW w:w="1129" w:type="dxa"/>
          </w:tcPr>
          <w:p>
            <w:pPr>
              <w:spacing w:line="460" w:lineRule="exact"/>
              <w:rPr>
                <w:rFonts w:hint="eastAsia" w:asciiTheme="majorEastAsia" w:hAnsiTheme="majorEastAsia" w:eastAsiaTheme="majorEastAsia" w:cstheme="majorEastAsia"/>
                <w:sz w:val="24"/>
              </w:rPr>
            </w:pPr>
          </w:p>
        </w:tc>
        <w:tc>
          <w:tcPr>
            <w:tcW w:w="731" w:type="dxa"/>
          </w:tcPr>
          <w:p>
            <w:pPr>
              <w:spacing w:line="460" w:lineRule="exact"/>
              <w:rPr>
                <w:rFonts w:hint="eastAsia" w:asciiTheme="majorEastAsia" w:hAnsiTheme="majorEastAsia" w:eastAsiaTheme="majorEastAsia" w:cstheme="majorEastAsia"/>
                <w:sz w:val="24"/>
              </w:rPr>
            </w:pPr>
          </w:p>
        </w:tc>
      </w:tr>
    </w:tbl>
    <w:p>
      <w:pPr>
        <w:spacing w:line="460" w:lineRule="exact"/>
        <w:ind w:left="0" w:leftChars="0" w:firstLine="0" w:firstLineChars="0"/>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widowControl/>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sz w:val="24"/>
        </w:rPr>
        <w:br w:type="page"/>
      </w:r>
      <w:bookmarkStart w:id="103" w:name="_Toc6241_WPSOffice_Level1"/>
      <w:bookmarkStart w:id="104" w:name="_Toc5089_WPSOffice_Level1"/>
      <w:r>
        <w:rPr>
          <w:rFonts w:hint="eastAsia" w:asciiTheme="majorEastAsia" w:hAnsiTheme="majorEastAsia" w:eastAsiaTheme="majorEastAsia" w:cstheme="majorEastAsia"/>
          <w:b/>
          <w:sz w:val="32"/>
          <w:szCs w:val="32"/>
        </w:rPr>
        <w:t>磋商分项一览表</w:t>
      </w:r>
      <w:bookmarkEnd w:id="103"/>
      <w:bookmarkEnd w:id="104"/>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包号：</w:t>
      </w:r>
      <w:r>
        <w:rPr>
          <w:rFonts w:hint="eastAsia" w:asciiTheme="majorEastAsia" w:hAnsiTheme="majorEastAsia" w:eastAsiaTheme="majorEastAsia" w:cstheme="majorEastAsia"/>
          <w:sz w:val="24"/>
          <w:u w:val="single"/>
        </w:rPr>
        <w:t xml:space="preserve">                        </w:t>
      </w:r>
    </w:p>
    <w:p>
      <w:pPr>
        <w:spacing w:line="46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sz w:val="24"/>
        </w:rPr>
        <w:t xml:space="preserve">                                                       </w:t>
      </w:r>
    </w:p>
    <w:tbl>
      <w:tblPr>
        <w:tblStyle w:val="17"/>
        <w:tblW w:w="8495" w:type="dxa"/>
        <w:jc w:val="center"/>
        <w:tblLayout w:type="fixed"/>
        <w:tblCellMar>
          <w:top w:w="0" w:type="dxa"/>
          <w:left w:w="108" w:type="dxa"/>
          <w:bottom w:w="0" w:type="dxa"/>
          <w:right w:w="108" w:type="dxa"/>
        </w:tblCellMar>
      </w:tblPr>
      <w:tblGrid>
        <w:gridCol w:w="659"/>
        <w:gridCol w:w="1709"/>
        <w:gridCol w:w="3131"/>
        <w:gridCol w:w="1131"/>
        <w:gridCol w:w="795"/>
        <w:gridCol w:w="1070"/>
      </w:tblGrid>
      <w:tr>
        <w:tblPrEx>
          <w:tblCellMar>
            <w:top w:w="0" w:type="dxa"/>
            <w:left w:w="108" w:type="dxa"/>
            <w:bottom w:w="0" w:type="dxa"/>
            <w:right w:w="108" w:type="dxa"/>
          </w:tblCellMar>
        </w:tblPrEx>
        <w:trPr>
          <w:trHeight w:val="555" w:hRule="atLeast"/>
          <w:jc w:val="center"/>
        </w:trPr>
        <w:tc>
          <w:tcPr>
            <w:tcW w:w="659" w:type="dxa"/>
            <w:tcBorders>
              <w:top w:val="single" w:color="auto" w:sz="8" w:space="0"/>
              <w:left w:val="single" w:color="auto" w:sz="8" w:space="0"/>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eastAsia="zh-CN"/>
              </w:rPr>
              <w:t>序</w:t>
            </w:r>
            <w:r>
              <w:rPr>
                <w:rFonts w:hint="eastAsia" w:asciiTheme="majorEastAsia" w:hAnsiTheme="majorEastAsia" w:eastAsiaTheme="majorEastAsia" w:cstheme="majorEastAsia"/>
                <w:szCs w:val="21"/>
              </w:rPr>
              <w:t>号</w:t>
            </w:r>
          </w:p>
        </w:tc>
        <w:tc>
          <w:tcPr>
            <w:tcW w:w="1709" w:type="dxa"/>
            <w:tcBorders>
              <w:top w:val="single" w:color="auto" w:sz="8" w:space="0"/>
              <w:left w:val="nil"/>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服务分项名称</w:t>
            </w:r>
          </w:p>
        </w:tc>
        <w:tc>
          <w:tcPr>
            <w:tcW w:w="3131" w:type="dxa"/>
            <w:tcBorders>
              <w:top w:val="single" w:color="auto" w:sz="8" w:space="0"/>
              <w:left w:val="nil"/>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服务分项内容</w:t>
            </w:r>
          </w:p>
        </w:tc>
        <w:tc>
          <w:tcPr>
            <w:tcW w:w="1131" w:type="dxa"/>
            <w:tcBorders>
              <w:top w:val="single" w:color="auto" w:sz="8" w:space="0"/>
              <w:left w:val="nil"/>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服务地点</w:t>
            </w:r>
          </w:p>
        </w:tc>
        <w:tc>
          <w:tcPr>
            <w:tcW w:w="795" w:type="dxa"/>
            <w:tcBorders>
              <w:top w:val="single" w:color="auto" w:sz="8" w:space="0"/>
              <w:left w:val="nil"/>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w:t>
            </w:r>
          </w:p>
        </w:tc>
        <w:tc>
          <w:tcPr>
            <w:tcW w:w="1070" w:type="dxa"/>
            <w:tcBorders>
              <w:top w:val="single" w:color="auto" w:sz="8" w:space="0"/>
              <w:left w:val="nil"/>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r>
      <w:tr>
        <w:tblPrEx>
          <w:tblCellMar>
            <w:top w:w="0" w:type="dxa"/>
            <w:left w:w="108" w:type="dxa"/>
            <w:bottom w:w="0" w:type="dxa"/>
            <w:right w:w="108" w:type="dxa"/>
          </w:tblCellMar>
        </w:tblPrEx>
        <w:trPr>
          <w:trHeight w:val="465" w:hRule="atLeast"/>
          <w:jc w:val="center"/>
        </w:trPr>
        <w:tc>
          <w:tcPr>
            <w:tcW w:w="659" w:type="dxa"/>
            <w:tcBorders>
              <w:top w:val="nil"/>
              <w:left w:val="single" w:color="auto" w:sz="8" w:space="0"/>
              <w:bottom w:val="single" w:color="auto" w:sz="4" w:space="0"/>
              <w:right w:val="single" w:color="auto" w:sz="4" w:space="0"/>
            </w:tcBorders>
            <w:vAlign w:val="center"/>
          </w:tcPr>
          <w:p>
            <w:pPr>
              <w:widowControl/>
              <w:tabs>
                <w:tab w:val="center" w:pos="222"/>
              </w:tabs>
              <w:ind w:left="0" w:leftChars="0" w:firstLine="0" w:firstLineChars="0"/>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w:t>
            </w:r>
          </w:p>
        </w:tc>
        <w:tc>
          <w:tcPr>
            <w:tcW w:w="1709"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313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13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9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07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18"/>
                <w:szCs w:val="18"/>
              </w:rPr>
            </w:pPr>
          </w:p>
        </w:tc>
      </w:tr>
      <w:tr>
        <w:tblPrEx>
          <w:tblCellMar>
            <w:top w:w="0" w:type="dxa"/>
            <w:left w:w="108" w:type="dxa"/>
            <w:bottom w:w="0" w:type="dxa"/>
            <w:right w:w="108" w:type="dxa"/>
          </w:tblCellMar>
        </w:tblPrEx>
        <w:trPr>
          <w:trHeight w:val="465" w:hRule="atLeast"/>
          <w:jc w:val="center"/>
        </w:trPr>
        <w:tc>
          <w:tcPr>
            <w:tcW w:w="659" w:type="dxa"/>
            <w:tcBorders>
              <w:top w:val="nil"/>
              <w:left w:val="single" w:color="auto" w:sz="8"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709"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313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13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9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07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r>
      <w:tr>
        <w:tblPrEx>
          <w:tblCellMar>
            <w:top w:w="0" w:type="dxa"/>
            <w:left w:w="108" w:type="dxa"/>
            <w:bottom w:w="0" w:type="dxa"/>
            <w:right w:w="108" w:type="dxa"/>
          </w:tblCellMar>
        </w:tblPrEx>
        <w:trPr>
          <w:trHeight w:val="465" w:hRule="atLeast"/>
          <w:jc w:val="center"/>
        </w:trPr>
        <w:tc>
          <w:tcPr>
            <w:tcW w:w="659" w:type="dxa"/>
            <w:tcBorders>
              <w:top w:val="nil"/>
              <w:left w:val="single" w:color="auto" w:sz="8"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709"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313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13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9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07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r>
    </w:tbl>
    <w:p>
      <w:pPr>
        <w:ind w:left="180"/>
        <w:rPr>
          <w:rFonts w:hint="eastAsia" w:asciiTheme="majorEastAsia" w:hAnsiTheme="majorEastAsia" w:eastAsiaTheme="majorEastAsia" w:cstheme="majorEastAsia"/>
        </w:rPr>
      </w:pPr>
    </w:p>
    <w:p>
      <w:pPr>
        <w:spacing w:line="360" w:lineRule="auto"/>
        <w:ind w:left="181"/>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注：</w:t>
      </w:r>
    </w:p>
    <w:p>
      <w:pPr>
        <w:pStyle w:val="33"/>
        <w:numPr>
          <w:ilvl w:val="0"/>
          <w:numId w:val="4"/>
        </w:numPr>
        <w:spacing w:line="360" w:lineRule="auto"/>
        <w:ind w:firstLineChars="0"/>
        <w:outlineLvl w:val="1"/>
        <w:rPr>
          <w:rFonts w:hint="eastAsia" w:asciiTheme="majorEastAsia" w:hAnsiTheme="majorEastAsia" w:eastAsiaTheme="majorEastAsia" w:cstheme="majorEastAsia"/>
          <w:b/>
          <w:sz w:val="24"/>
          <w:szCs w:val="24"/>
        </w:rPr>
      </w:pPr>
      <w:bookmarkStart w:id="105" w:name="_Toc30745_WPSOffice_Level1"/>
      <w:bookmarkStart w:id="106" w:name="_Toc10537_WPSOffice_Level1"/>
      <w:r>
        <w:rPr>
          <w:rFonts w:hint="eastAsia" w:asciiTheme="majorEastAsia" w:hAnsiTheme="majorEastAsia" w:eastAsiaTheme="majorEastAsia" w:cstheme="majorEastAsia"/>
          <w:b/>
          <w:sz w:val="24"/>
          <w:szCs w:val="24"/>
        </w:rPr>
        <w:t>磋商分项一览表中应列明磋商一览表中每项的分项内容。</w:t>
      </w:r>
      <w:bookmarkEnd w:id="105"/>
      <w:bookmarkEnd w:id="106"/>
    </w:p>
    <w:p>
      <w:pPr>
        <w:pStyle w:val="33"/>
        <w:numPr>
          <w:ilvl w:val="0"/>
          <w:numId w:val="4"/>
        </w:numPr>
        <w:spacing w:line="360" w:lineRule="auto"/>
        <w:ind w:firstLineChars="0"/>
        <w:outlineLvl w:val="1"/>
        <w:rPr>
          <w:rFonts w:hint="eastAsia" w:asciiTheme="majorEastAsia" w:hAnsiTheme="majorEastAsia" w:eastAsiaTheme="majorEastAsia" w:cstheme="majorEastAsia"/>
          <w:b/>
          <w:sz w:val="24"/>
          <w:szCs w:val="24"/>
        </w:rPr>
      </w:pPr>
      <w:bookmarkStart w:id="107" w:name="_Toc2394_WPSOffice_Level1"/>
      <w:bookmarkStart w:id="108" w:name="_Toc15574_WPSOffice_Level1"/>
      <w:r>
        <w:rPr>
          <w:rFonts w:hint="eastAsia" w:asciiTheme="majorEastAsia" w:hAnsiTheme="majorEastAsia" w:eastAsiaTheme="majorEastAsia" w:cstheme="majorEastAsia"/>
          <w:b/>
          <w:sz w:val="24"/>
          <w:szCs w:val="24"/>
        </w:rPr>
        <w:t>此表格仅作为参考，供应商可自行扩展或设计</w:t>
      </w:r>
      <w:bookmarkEnd w:id="107"/>
      <w:bookmarkEnd w:id="108"/>
    </w:p>
    <w:p>
      <w:pPr>
        <w:spacing w:line="360" w:lineRule="auto"/>
        <w:ind w:left="181"/>
        <w:rPr>
          <w:rFonts w:hint="eastAsia" w:asciiTheme="majorEastAsia" w:hAnsiTheme="majorEastAsia" w:eastAsiaTheme="majorEastAsia" w:cstheme="majorEastAsia"/>
          <w:sz w:val="24"/>
          <w:szCs w:val="24"/>
        </w:rPr>
      </w:pPr>
    </w:p>
    <w:p>
      <w:pPr>
        <w:spacing w:line="360" w:lineRule="auto"/>
        <w:ind w:left="181"/>
        <w:rPr>
          <w:rFonts w:hint="eastAsia" w:asciiTheme="majorEastAsia" w:hAnsiTheme="majorEastAsia" w:eastAsiaTheme="majorEastAsia" w:cstheme="majorEastAsia"/>
          <w:sz w:val="24"/>
          <w:szCs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widowControl/>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sz w:val="24"/>
        </w:rPr>
        <w:br w:type="page"/>
      </w:r>
      <w:bookmarkStart w:id="109" w:name="_Toc16225_WPSOffice_Level1"/>
      <w:bookmarkStart w:id="110" w:name="_Toc26785_WPSOffice_Level1"/>
      <w:r>
        <w:rPr>
          <w:rFonts w:hint="eastAsia" w:asciiTheme="majorEastAsia" w:hAnsiTheme="majorEastAsia" w:eastAsiaTheme="majorEastAsia" w:cstheme="majorEastAsia"/>
          <w:b/>
          <w:sz w:val="32"/>
          <w:szCs w:val="32"/>
        </w:rPr>
        <w:t>投标产品点对点应答表</w:t>
      </w:r>
      <w:bookmarkEnd w:id="109"/>
      <w:bookmarkEnd w:id="110"/>
    </w:p>
    <w:p>
      <w:pPr>
        <w:spacing w:line="46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p>
    <w:p>
      <w:pPr>
        <w:spacing w:line="46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p>
    <w:p>
      <w:pPr>
        <w:spacing w:line="460" w:lineRule="exact"/>
        <w:rPr>
          <w:rFonts w:hint="eastAsia" w:asciiTheme="majorEastAsia" w:hAnsiTheme="majorEastAsia" w:eastAsiaTheme="majorEastAsia" w:cstheme="majorEastAsia"/>
          <w:szCs w:val="21"/>
          <w:u w:val="single"/>
        </w:rPr>
      </w:pPr>
      <w:r>
        <w:rPr>
          <w:rFonts w:hint="eastAsia" w:asciiTheme="majorEastAsia" w:hAnsiTheme="majorEastAsia" w:eastAsiaTheme="majorEastAsia" w:cstheme="majorEastAsia"/>
          <w:sz w:val="24"/>
        </w:rPr>
        <w:t>包号：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Cs w:val="21"/>
          <w:u w:val="single"/>
        </w:rPr>
        <w:t xml:space="preserve">                </w:t>
      </w:r>
    </w:p>
    <w:p>
      <w:pPr>
        <w:spacing w:line="460" w:lineRule="exact"/>
        <w:rPr>
          <w:rFonts w:hint="eastAsia" w:asciiTheme="majorEastAsia" w:hAnsiTheme="majorEastAsia" w:eastAsiaTheme="majorEastAsia" w:cstheme="majorEastAsia"/>
          <w:szCs w:val="21"/>
          <w:u w:val="single"/>
        </w:rPr>
      </w:pPr>
    </w:p>
    <w:tbl>
      <w:tblPr>
        <w:tblStyle w:val="17"/>
        <w:tblW w:w="10207"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52"/>
        <w:gridCol w:w="2551"/>
        <w:gridCol w:w="1915"/>
        <w:gridCol w:w="148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序号</w:t>
            </w:r>
          </w:p>
        </w:tc>
        <w:tc>
          <w:tcPr>
            <w:tcW w:w="2552"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名称</w:t>
            </w:r>
          </w:p>
        </w:tc>
        <w:tc>
          <w:tcPr>
            <w:tcW w:w="25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磋商要求</w:t>
            </w:r>
          </w:p>
        </w:tc>
        <w:tc>
          <w:tcPr>
            <w:tcW w:w="1915"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投标应答</w:t>
            </w:r>
          </w:p>
        </w:tc>
        <w:tc>
          <w:tcPr>
            <w:tcW w:w="1487"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偏离说明</w:t>
            </w:r>
          </w:p>
        </w:tc>
        <w:tc>
          <w:tcPr>
            <w:tcW w:w="8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07" w:type="dxa"/>
            <w:gridSpan w:val="6"/>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资信要求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2552" w:type="dxa"/>
            <w:vAlign w:val="center"/>
          </w:tcPr>
          <w:p>
            <w:pPr>
              <w:jc w:val="center"/>
              <w:rPr>
                <w:rFonts w:hint="eastAsia" w:asciiTheme="majorEastAsia" w:hAnsiTheme="majorEastAsia" w:eastAsiaTheme="majorEastAsia" w:cstheme="majorEastAsia"/>
                <w:szCs w:val="21"/>
              </w:rPr>
            </w:pPr>
          </w:p>
        </w:tc>
        <w:tc>
          <w:tcPr>
            <w:tcW w:w="2551" w:type="dxa"/>
            <w:vAlign w:val="center"/>
          </w:tcPr>
          <w:p>
            <w:pPr>
              <w:jc w:val="center"/>
              <w:rPr>
                <w:rFonts w:hint="eastAsia" w:asciiTheme="majorEastAsia" w:hAnsiTheme="majorEastAsia" w:eastAsiaTheme="majorEastAsia" w:cstheme="majorEastAsia"/>
                <w:szCs w:val="21"/>
              </w:rPr>
            </w:pPr>
          </w:p>
        </w:tc>
        <w:tc>
          <w:tcPr>
            <w:tcW w:w="1915" w:type="dxa"/>
            <w:vAlign w:val="center"/>
          </w:tcPr>
          <w:p>
            <w:pPr>
              <w:jc w:val="center"/>
              <w:rPr>
                <w:rFonts w:hint="eastAsia" w:asciiTheme="majorEastAsia" w:hAnsiTheme="majorEastAsia" w:eastAsiaTheme="majorEastAsia" w:cstheme="majorEastAsia"/>
                <w:szCs w:val="21"/>
              </w:rPr>
            </w:pPr>
          </w:p>
        </w:tc>
        <w:tc>
          <w:tcPr>
            <w:tcW w:w="1487" w:type="dxa"/>
            <w:vAlign w:val="center"/>
          </w:tcPr>
          <w:p>
            <w:pPr>
              <w:jc w:val="center"/>
              <w:rPr>
                <w:rFonts w:hint="eastAsia" w:asciiTheme="majorEastAsia" w:hAnsiTheme="majorEastAsia" w:eastAsiaTheme="majorEastAsia" w:cstheme="majorEastAsia"/>
                <w:szCs w:val="21"/>
              </w:rPr>
            </w:pPr>
          </w:p>
        </w:tc>
        <w:tc>
          <w:tcPr>
            <w:tcW w:w="851" w:type="dxa"/>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2552" w:type="dxa"/>
            <w:vAlign w:val="center"/>
          </w:tcPr>
          <w:p>
            <w:pPr>
              <w:jc w:val="center"/>
              <w:rPr>
                <w:rFonts w:hint="eastAsia" w:asciiTheme="majorEastAsia" w:hAnsiTheme="majorEastAsia" w:eastAsiaTheme="majorEastAsia" w:cstheme="majorEastAsia"/>
                <w:szCs w:val="21"/>
              </w:rPr>
            </w:pPr>
          </w:p>
        </w:tc>
        <w:tc>
          <w:tcPr>
            <w:tcW w:w="2551" w:type="dxa"/>
            <w:vAlign w:val="center"/>
          </w:tcPr>
          <w:p>
            <w:pPr>
              <w:jc w:val="center"/>
              <w:rPr>
                <w:rFonts w:hint="eastAsia" w:asciiTheme="majorEastAsia" w:hAnsiTheme="majorEastAsia" w:eastAsiaTheme="majorEastAsia" w:cstheme="majorEastAsia"/>
                <w:szCs w:val="21"/>
              </w:rPr>
            </w:pPr>
          </w:p>
        </w:tc>
        <w:tc>
          <w:tcPr>
            <w:tcW w:w="1915" w:type="dxa"/>
            <w:vAlign w:val="center"/>
          </w:tcPr>
          <w:p>
            <w:pPr>
              <w:jc w:val="center"/>
              <w:rPr>
                <w:rFonts w:hint="eastAsia" w:asciiTheme="majorEastAsia" w:hAnsiTheme="majorEastAsia" w:eastAsiaTheme="majorEastAsia" w:cstheme="majorEastAsia"/>
                <w:szCs w:val="21"/>
              </w:rPr>
            </w:pPr>
          </w:p>
        </w:tc>
        <w:tc>
          <w:tcPr>
            <w:tcW w:w="1487" w:type="dxa"/>
            <w:vAlign w:val="center"/>
          </w:tcPr>
          <w:p>
            <w:pPr>
              <w:jc w:val="center"/>
              <w:rPr>
                <w:rFonts w:hint="eastAsia" w:asciiTheme="majorEastAsia" w:hAnsiTheme="majorEastAsia" w:eastAsiaTheme="majorEastAsia" w:cstheme="majorEastAsia"/>
                <w:szCs w:val="21"/>
              </w:rPr>
            </w:pPr>
          </w:p>
        </w:tc>
        <w:tc>
          <w:tcPr>
            <w:tcW w:w="851" w:type="dxa"/>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p>
        </w:tc>
        <w:tc>
          <w:tcPr>
            <w:tcW w:w="2552" w:type="dxa"/>
            <w:vAlign w:val="center"/>
          </w:tcPr>
          <w:p>
            <w:pPr>
              <w:jc w:val="center"/>
              <w:rPr>
                <w:rFonts w:hint="eastAsia" w:asciiTheme="majorEastAsia" w:hAnsiTheme="majorEastAsia" w:eastAsiaTheme="majorEastAsia" w:cstheme="majorEastAsia"/>
                <w:szCs w:val="21"/>
              </w:rPr>
            </w:pPr>
          </w:p>
        </w:tc>
        <w:tc>
          <w:tcPr>
            <w:tcW w:w="2551" w:type="dxa"/>
            <w:vAlign w:val="center"/>
          </w:tcPr>
          <w:p>
            <w:pPr>
              <w:jc w:val="center"/>
              <w:rPr>
                <w:rFonts w:hint="eastAsia" w:asciiTheme="majorEastAsia" w:hAnsiTheme="majorEastAsia" w:eastAsiaTheme="majorEastAsia" w:cstheme="majorEastAsia"/>
                <w:szCs w:val="21"/>
              </w:rPr>
            </w:pPr>
          </w:p>
        </w:tc>
        <w:tc>
          <w:tcPr>
            <w:tcW w:w="1915" w:type="dxa"/>
            <w:vAlign w:val="center"/>
          </w:tcPr>
          <w:p>
            <w:pPr>
              <w:jc w:val="center"/>
              <w:rPr>
                <w:rFonts w:hint="eastAsia" w:asciiTheme="majorEastAsia" w:hAnsiTheme="majorEastAsia" w:eastAsiaTheme="majorEastAsia" w:cstheme="majorEastAsia"/>
                <w:szCs w:val="21"/>
              </w:rPr>
            </w:pPr>
          </w:p>
        </w:tc>
        <w:tc>
          <w:tcPr>
            <w:tcW w:w="1487" w:type="dxa"/>
            <w:vAlign w:val="center"/>
          </w:tcPr>
          <w:p>
            <w:pPr>
              <w:jc w:val="center"/>
              <w:rPr>
                <w:rFonts w:hint="eastAsia" w:asciiTheme="majorEastAsia" w:hAnsiTheme="majorEastAsia" w:eastAsiaTheme="majorEastAsia" w:cstheme="majorEastAsia"/>
                <w:szCs w:val="21"/>
              </w:rPr>
            </w:pPr>
          </w:p>
        </w:tc>
        <w:tc>
          <w:tcPr>
            <w:tcW w:w="851" w:type="dxa"/>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07" w:type="dxa"/>
            <w:gridSpan w:val="6"/>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2552" w:type="dxa"/>
            <w:vAlign w:val="center"/>
          </w:tcPr>
          <w:p>
            <w:pPr>
              <w:jc w:val="center"/>
              <w:rPr>
                <w:rFonts w:hint="eastAsia" w:asciiTheme="majorEastAsia" w:hAnsiTheme="majorEastAsia" w:eastAsiaTheme="majorEastAsia" w:cstheme="majorEastAsia"/>
                <w:szCs w:val="21"/>
              </w:rPr>
            </w:pPr>
          </w:p>
        </w:tc>
        <w:tc>
          <w:tcPr>
            <w:tcW w:w="2551" w:type="dxa"/>
            <w:vAlign w:val="center"/>
          </w:tcPr>
          <w:p>
            <w:pPr>
              <w:jc w:val="center"/>
              <w:rPr>
                <w:rFonts w:hint="eastAsia" w:asciiTheme="majorEastAsia" w:hAnsiTheme="majorEastAsia" w:eastAsiaTheme="majorEastAsia" w:cstheme="majorEastAsia"/>
                <w:szCs w:val="21"/>
              </w:rPr>
            </w:pPr>
          </w:p>
        </w:tc>
        <w:tc>
          <w:tcPr>
            <w:tcW w:w="1915" w:type="dxa"/>
            <w:vAlign w:val="center"/>
          </w:tcPr>
          <w:p>
            <w:pPr>
              <w:jc w:val="center"/>
              <w:rPr>
                <w:rFonts w:hint="eastAsia" w:asciiTheme="majorEastAsia" w:hAnsiTheme="majorEastAsia" w:eastAsiaTheme="majorEastAsia" w:cstheme="majorEastAsia"/>
                <w:szCs w:val="21"/>
              </w:rPr>
            </w:pPr>
          </w:p>
        </w:tc>
        <w:tc>
          <w:tcPr>
            <w:tcW w:w="1487" w:type="dxa"/>
            <w:vAlign w:val="center"/>
          </w:tcPr>
          <w:p>
            <w:pPr>
              <w:jc w:val="center"/>
              <w:rPr>
                <w:rFonts w:hint="eastAsia" w:asciiTheme="majorEastAsia" w:hAnsiTheme="majorEastAsia" w:eastAsiaTheme="majorEastAsia" w:cstheme="majorEastAsia"/>
                <w:szCs w:val="21"/>
              </w:rPr>
            </w:pPr>
          </w:p>
        </w:tc>
        <w:tc>
          <w:tcPr>
            <w:tcW w:w="851" w:type="dxa"/>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2552" w:type="dxa"/>
            <w:vAlign w:val="center"/>
          </w:tcPr>
          <w:p>
            <w:pPr>
              <w:jc w:val="center"/>
              <w:rPr>
                <w:rFonts w:hint="eastAsia" w:asciiTheme="majorEastAsia" w:hAnsiTheme="majorEastAsia" w:eastAsiaTheme="majorEastAsia" w:cstheme="majorEastAsia"/>
                <w:szCs w:val="21"/>
              </w:rPr>
            </w:pPr>
          </w:p>
        </w:tc>
        <w:tc>
          <w:tcPr>
            <w:tcW w:w="2551" w:type="dxa"/>
            <w:vAlign w:val="center"/>
          </w:tcPr>
          <w:p>
            <w:pPr>
              <w:jc w:val="center"/>
              <w:rPr>
                <w:rFonts w:hint="eastAsia" w:asciiTheme="majorEastAsia" w:hAnsiTheme="majorEastAsia" w:eastAsiaTheme="majorEastAsia" w:cstheme="majorEastAsia"/>
                <w:szCs w:val="21"/>
              </w:rPr>
            </w:pPr>
          </w:p>
        </w:tc>
        <w:tc>
          <w:tcPr>
            <w:tcW w:w="1915" w:type="dxa"/>
            <w:vAlign w:val="center"/>
          </w:tcPr>
          <w:p>
            <w:pPr>
              <w:jc w:val="center"/>
              <w:rPr>
                <w:rFonts w:hint="eastAsia" w:asciiTheme="majorEastAsia" w:hAnsiTheme="majorEastAsia" w:eastAsiaTheme="majorEastAsia" w:cstheme="majorEastAsia"/>
                <w:szCs w:val="21"/>
              </w:rPr>
            </w:pPr>
          </w:p>
        </w:tc>
        <w:tc>
          <w:tcPr>
            <w:tcW w:w="1487" w:type="dxa"/>
            <w:vAlign w:val="center"/>
          </w:tcPr>
          <w:p>
            <w:pPr>
              <w:jc w:val="center"/>
              <w:rPr>
                <w:rFonts w:hint="eastAsia" w:asciiTheme="majorEastAsia" w:hAnsiTheme="majorEastAsia" w:eastAsiaTheme="majorEastAsia" w:cstheme="majorEastAsia"/>
                <w:szCs w:val="21"/>
              </w:rPr>
            </w:pPr>
          </w:p>
        </w:tc>
        <w:tc>
          <w:tcPr>
            <w:tcW w:w="851" w:type="dxa"/>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p>
        </w:tc>
        <w:tc>
          <w:tcPr>
            <w:tcW w:w="2552" w:type="dxa"/>
            <w:vAlign w:val="center"/>
          </w:tcPr>
          <w:p>
            <w:pPr>
              <w:jc w:val="center"/>
              <w:rPr>
                <w:rFonts w:hint="eastAsia" w:asciiTheme="majorEastAsia" w:hAnsiTheme="majorEastAsia" w:eastAsiaTheme="majorEastAsia" w:cstheme="majorEastAsia"/>
                <w:szCs w:val="21"/>
              </w:rPr>
            </w:pPr>
          </w:p>
        </w:tc>
        <w:tc>
          <w:tcPr>
            <w:tcW w:w="2551" w:type="dxa"/>
            <w:vAlign w:val="center"/>
          </w:tcPr>
          <w:p>
            <w:pPr>
              <w:jc w:val="center"/>
              <w:rPr>
                <w:rFonts w:hint="eastAsia" w:asciiTheme="majorEastAsia" w:hAnsiTheme="majorEastAsia" w:eastAsiaTheme="majorEastAsia" w:cstheme="majorEastAsia"/>
                <w:szCs w:val="21"/>
              </w:rPr>
            </w:pPr>
          </w:p>
        </w:tc>
        <w:tc>
          <w:tcPr>
            <w:tcW w:w="1915" w:type="dxa"/>
            <w:vAlign w:val="center"/>
          </w:tcPr>
          <w:p>
            <w:pPr>
              <w:jc w:val="center"/>
              <w:rPr>
                <w:rFonts w:hint="eastAsia" w:asciiTheme="majorEastAsia" w:hAnsiTheme="majorEastAsia" w:eastAsiaTheme="majorEastAsia" w:cstheme="majorEastAsia"/>
                <w:szCs w:val="21"/>
              </w:rPr>
            </w:pPr>
          </w:p>
        </w:tc>
        <w:tc>
          <w:tcPr>
            <w:tcW w:w="1487" w:type="dxa"/>
            <w:vAlign w:val="center"/>
          </w:tcPr>
          <w:p>
            <w:pPr>
              <w:jc w:val="center"/>
              <w:rPr>
                <w:rFonts w:hint="eastAsia" w:asciiTheme="majorEastAsia" w:hAnsiTheme="majorEastAsia" w:eastAsiaTheme="majorEastAsia" w:cstheme="majorEastAsia"/>
                <w:szCs w:val="21"/>
              </w:rPr>
            </w:pPr>
          </w:p>
        </w:tc>
        <w:tc>
          <w:tcPr>
            <w:tcW w:w="851" w:type="dxa"/>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7" w:type="dxa"/>
            <w:gridSpan w:val="6"/>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2552" w:type="dxa"/>
            <w:vAlign w:val="center"/>
          </w:tcPr>
          <w:p>
            <w:pPr>
              <w:jc w:val="center"/>
              <w:rPr>
                <w:rFonts w:hint="eastAsia" w:asciiTheme="majorEastAsia" w:hAnsiTheme="majorEastAsia" w:eastAsiaTheme="majorEastAsia" w:cstheme="majorEastAsia"/>
                <w:szCs w:val="21"/>
              </w:rPr>
            </w:pPr>
          </w:p>
        </w:tc>
        <w:tc>
          <w:tcPr>
            <w:tcW w:w="2551" w:type="dxa"/>
            <w:vAlign w:val="center"/>
          </w:tcPr>
          <w:p>
            <w:pPr>
              <w:jc w:val="center"/>
              <w:rPr>
                <w:rFonts w:hint="eastAsia" w:asciiTheme="majorEastAsia" w:hAnsiTheme="majorEastAsia" w:eastAsiaTheme="majorEastAsia" w:cstheme="majorEastAsia"/>
                <w:szCs w:val="21"/>
              </w:rPr>
            </w:pPr>
          </w:p>
        </w:tc>
        <w:tc>
          <w:tcPr>
            <w:tcW w:w="1915" w:type="dxa"/>
            <w:vAlign w:val="center"/>
          </w:tcPr>
          <w:p>
            <w:pPr>
              <w:jc w:val="center"/>
              <w:rPr>
                <w:rFonts w:hint="eastAsia" w:asciiTheme="majorEastAsia" w:hAnsiTheme="majorEastAsia" w:eastAsiaTheme="majorEastAsia" w:cstheme="majorEastAsia"/>
                <w:szCs w:val="21"/>
              </w:rPr>
            </w:pPr>
          </w:p>
        </w:tc>
        <w:tc>
          <w:tcPr>
            <w:tcW w:w="1487" w:type="dxa"/>
            <w:vAlign w:val="center"/>
          </w:tcPr>
          <w:p>
            <w:pPr>
              <w:jc w:val="center"/>
              <w:rPr>
                <w:rFonts w:hint="eastAsia" w:asciiTheme="majorEastAsia" w:hAnsiTheme="majorEastAsia" w:eastAsiaTheme="majorEastAsia" w:cstheme="majorEastAsia"/>
                <w:szCs w:val="21"/>
              </w:rPr>
            </w:pPr>
          </w:p>
        </w:tc>
        <w:tc>
          <w:tcPr>
            <w:tcW w:w="851" w:type="dxa"/>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p>
        </w:tc>
        <w:tc>
          <w:tcPr>
            <w:tcW w:w="2552" w:type="dxa"/>
            <w:vAlign w:val="center"/>
          </w:tcPr>
          <w:p>
            <w:pPr>
              <w:jc w:val="center"/>
              <w:rPr>
                <w:rFonts w:hint="eastAsia" w:asciiTheme="majorEastAsia" w:hAnsiTheme="majorEastAsia" w:eastAsiaTheme="majorEastAsia" w:cstheme="majorEastAsia"/>
                <w:szCs w:val="21"/>
              </w:rPr>
            </w:pPr>
          </w:p>
        </w:tc>
        <w:tc>
          <w:tcPr>
            <w:tcW w:w="2551" w:type="dxa"/>
            <w:vAlign w:val="center"/>
          </w:tcPr>
          <w:p>
            <w:pPr>
              <w:jc w:val="center"/>
              <w:rPr>
                <w:rFonts w:hint="eastAsia" w:asciiTheme="majorEastAsia" w:hAnsiTheme="majorEastAsia" w:eastAsiaTheme="majorEastAsia" w:cstheme="majorEastAsia"/>
                <w:szCs w:val="21"/>
              </w:rPr>
            </w:pPr>
          </w:p>
        </w:tc>
        <w:tc>
          <w:tcPr>
            <w:tcW w:w="1915" w:type="dxa"/>
            <w:vAlign w:val="center"/>
          </w:tcPr>
          <w:p>
            <w:pPr>
              <w:jc w:val="center"/>
              <w:rPr>
                <w:rFonts w:hint="eastAsia" w:asciiTheme="majorEastAsia" w:hAnsiTheme="majorEastAsia" w:eastAsiaTheme="majorEastAsia" w:cstheme="majorEastAsia"/>
                <w:szCs w:val="21"/>
              </w:rPr>
            </w:pPr>
          </w:p>
        </w:tc>
        <w:tc>
          <w:tcPr>
            <w:tcW w:w="1487" w:type="dxa"/>
            <w:vAlign w:val="center"/>
          </w:tcPr>
          <w:p>
            <w:pPr>
              <w:jc w:val="center"/>
              <w:rPr>
                <w:rFonts w:hint="eastAsia" w:asciiTheme="majorEastAsia" w:hAnsiTheme="majorEastAsia" w:eastAsiaTheme="majorEastAsia" w:cstheme="majorEastAsia"/>
                <w:szCs w:val="21"/>
              </w:rPr>
            </w:pPr>
          </w:p>
        </w:tc>
        <w:tc>
          <w:tcPr>
            <w:tcW w:w="851" w:type="dxa"/>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7" w:type="dxa"/>
            <w:gridSpan w:val="6"/>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hint="eastAsia" w:asciiTheme="majorEastAsia" w:hAnsiTheme="majorEastAsia" w:eastAsiaTheme="majorEastAsia" w:cstheme="majorEastAsia"/>
                <w:szCs w:val="21"/>
              </w:rPr>
            </w:pPr>
          </w:p>
        </w:tc>
        <w:tc>
          <w:tcPr>
            <w:tcW w:w="2552" w:type="dxa"/>
            <w:vAlign w:val="center"/>
          </w:tcPr>
          <w:p>
            <w:pPr>
              <w:jc w:val="center"/>
              <w:rPr>
                <w:rFonts w:hint="eastAsia" w:asciiTheme="majorEastAsia" w:hAnsiTheme="majorEastAsia" w:eastAsiaTheme="majorEastAsia" w:cstheme="majorEastAsia"/>
                <w:szCs w:val="21"/>
              </w:rPr>
            </w:pPr>
          </w:p>
        </w:tc>
        <w:tc>
          <w:tcPr>
            <w:tcW w:w="2551" w:type="dxa"/>
            <w:vAlign w:val="center"/>
          </w:tcPr>
          <w:p>
            <w:pPr>
              <w:jc w:val="center"/>
              <w:rPr>
                <w:rFonts w:hint="eastAsia" w:asciiTheme="majorEastAsia" w:hAnsiTheme="majorEastAsia" w:eastAsiaTheme="majorEastAsia" w:cstheme="majorEastAsia"/>
                <w:szCs w:val="21"/>
              </w:rPr>
            </w:pPr>
          </w:p>
        </w:tc>
        <w:tc>
          <w:tcPr>
            <w:tcW w:w="1915" w:type="dxa"/>
            <w:vAlign w:val="center"/>
          </w:tcPr>
          <w:p>
            <w:pPr>
              <w:jc w:val="center"/>
              <w:rPr>
                <w:rFonts w:hint="eastAsia" w:asciiTheme="majorEastAsia" w:hAnsiTheme="majorEastAsia" w:eastAsiaTheme="majorEastAsia" w:cstheme="majorEastAsia"/>
                <w:szCs w:val="21"/>
              </w:rPr>
            </w:pPr>
          </w:p>
        </w:tc>
        <w:tc>
          <w:tcPr>
            <w:tcW w:w="1487" w:type="dxa"/>
            <w:vAlign w:val="center"/>
          </w:tcPr>
          <w:p>
            <w:pPr>
              <w:jc w:val="center"/>
              <w:rPr>
                <w:rFonts w:hint="eastAsia" w:asciiTheme="majorEastAsia" w:hAnsiTheme="majorEastAsia" w:eastAsiaTheme="majorEastAsia" w:cstheme="majorEastAsia"/>
                <w:szCs w:val="21"/>
              </w:rPr>
            </w:pPr>
          </w:p>
        </w:tc>
        <w:tc>
          <w:tcPr>
            <w:tcW w:w="851" w:type="dxa"/>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7" w:type="dxa"/>
            <w:gridSpan w:val="6"/>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维修期限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hint="eastAsia" w:asciiTheme="majorEastAsia" w:hAnsiTheme="majorEastAsia" w:eastAsiaTheme="majorEastAsia" w:cstheme="majorEastAsia"/>
                <w:sz w:val="24"/>
              </w:rPr>
            </w:pPr>
          </w:p>
        </w:tc>
        <w:tc>
          <w:tcPr>
            <w:tcW w:w="2552" w:type="dxa"/>
            <w:vAlign w:val="center"/>
          </w:tcPr>
          <w:p>
            <w:pPr>
              <w:jc w:val="center"/>
              <w:rPr>
                <w:rFonts w:hint="eastAsia" w:asciiTheme="majorEastAsia" w:hAnsiTheme="majorEastAsia" w:eastAsiaTheme="majorEastAsia" w:cstheme="majorEastAsia"/>
                <w:sz w:val="24"/>
              </w:rPr>
            </w:pPr>
          </w:p>
        </w:tc>
        <w:tc>
          <w:tcPr>
            <w:tcW w:w="2551" w:type="dxa"/>
            <w:vAlign w:val="center"/>
          </w:tcPr>
          <w:p>
            <w:pPr>
              <w:jc w:val="center"/>
              <w:rPr>
                <w:rFonts w:hint="eastAsia" w:asciiTheme="majorEastAsia" w:hAnsiTheme="majorEastAsia" w:eastAsiaTheme="majorEastAsia" w:cstheme="majorEastAsia"/>
                <w:sz w:val="24"/>
              </w:rPr>
            </w:pPr>
          </w:p>
        </w:tc>
        <w:tc>
          <w:tcPr>
            <w:tcW w:w="1915" w:type="dxa"/>
            <w:vAlign w:val="center"/>
          </w:tcPr>
          <w:p>
            <w:pPr>
              <w:jc w:val="center"/>
              <w:rPr>
                <w:rFonts w:hint="eastAsia" w:asciiTheme="majorEastAsia" w:hAnsiTheme="majorEastAsia" w:eastAsiaTheme="majorEastAsia" w:cstheme="majorEastAsia"/>
                <w:sz w:val="24"/>
              </w:rPr>
            </w:pPr>
          </w:p>
        </w:tc>
        <w:tc>
          <w:tcPr>
            <w:tcW w:w="1487" w:type="dxa"/>
            <w:vAlign w:val="center"/>
          </w:tcPr>
          <w:p>
            <w:pPr>
              <w:jc w:val="center"/>
              <w:rPr>
                <w:rFonts w:hint="eastAsia" w:asciiTheme="majorEastAsia" w:hAnsiTheme="majorEastAsia" w:eastAsiaTheme="majorEastAsia" w:cstheme="majorEastAsia"/>
                <w:sz w:val="24"/>
              </w:rPr>
            </w:pPr>
          </w:p>
        </w:tc>
        <w:tc>
          <w:tcPr>
            <w:tcW w:w="851" w:type="dxa"/>
            <w:vAlign w:val="center"/>
          </w:tcPr>
          <w:p>
            <w:pPr>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7" w:type="dxa"/>
            <w:gridSpan w:val="6"/>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hint="eastAsia" w:asciiTheme="majorEastAsia" w:hAnsiTheme="majorEastAsia" w:eastAsiaTheme="majorEastAsia" w:cstheme="majorEastAsia"/>
                <w:sz w:val="24"/>
              </w:rPr>
            </w:pPr>
          </w:p>
        </w:tc>
        <w:tc>
          <w:tcPr>
            <w:tcW w:w="2552" w:type="dxa"/>
            <w:vAlign w:val="center"/>
          </w:tcPr>
          <w:p>
            <w:pPr>
              <w:jc w:val="center"/>
              <w:rPr>
                <w:rFonts w:hint="eastAsia" w:asciiTheme="majorEastAsia" w:hAnsiTheme="majorEastAsia" w:eastAsiaTheme="majorEastAsia" w:cstheme="majorEastAsia"/>
                <w:sz w:val="24"/>
              </w:rPr>
            </w:pPr>
          </w:p>
        </w:tc>
        <w:tc>
          <w:tcPr>
            <w:tcW w:w="2551" w:type="dxa"/>
            <w:vAlign w:val="center"/>
          </w:tcPr>
          <w:p>
            <w:pPr>
              <w:jc w:val="center"/>
              <w:rPr>
                <w:rFonts w:hint="eastAsia" w:asciiTheme="majorEastAsia" w:hAnsiTheme="majorEastAsia" w:eastAsiaTheme="majorEastAsia" w:cstheme="majorEastAsia"/>
                <w:sz w:val="24"/>
              </w:rPr>
            </w:pPr>
          </w:p>
        </w:tc>
        <w:tc>
          <w:tcPr>
            <w:tcW w:w="1915" w:type="dxa"/>
            <w:vAlign w:val="center"/>
          </w:tcPr>
          <w:p>
            <w:pPr>
              <w:jc w:val="center"/>
              <w:rPr>
                <w:rFonts w:hint="eastAsia" w:asciiTheme="majorEastAsia" w:hAnsiTheme="majorEastAsia" w:eastAsiaTheme="majorEastAsia" w:cstheme="majorEastAsia"/>
                <w:sz w:val="24"/>
              </w:rPr>
            </w:pPr>
          </w:p>
        </w:tc>
        <w:tc>
          <w:tcPr>
            <w:tcW w:w="1487" w:type="dxa"/>
            <w:vAlign w:val="center"/>
          </w:tcPr>
          <w:p>
            <w:pPr>
              <w:jc w:val="center"/>
              <w:rPr>
                <w:rFonts w:hint="eastAsia" w:asciiTheme="majorEastAsia" w:hAnsiTheme="majorEastAsia" w:eastAsiaTheme="majorEastAsia" w:cstheme="majorEastAsia"/>
                <w:sz w:val="24"/>
              </w:rPr>
            </w:pPr>
          </w:p>
        </w:tc>
        <w:tc>
          <w:tcPr>
            <w:tcW w:w="851" w:type="dxa"/>
            <w:vAlign w:val="center"/>
          </w:tcPr>
          <w:p>
            <w:pPr>
              <w:jc w:val="center"/>
              <w:rPr>
                <w:rFonts w:hint="eastAsia" w:asciiTheme="majorEastAsia" w:hAnsiTheme="majorEastAsia" w:eastAsiaTheme="majorEastAsia" w:cstheme="majorEastAsia"/>
                <w:sz w:val="24"/>
              </w:rPr>
            </w:pPr>
          </w:p>
        </w:tc>
      </w:tr>
    </w:tbl>
    <w:p>
      <w:pPr>
        <w:spacing w:line="62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注：</w:t>
      </w:r>
    </w:p>
    <w:p>
      <w:pPr>
        <w:spacing w:line="360" w:lineRule="auto"/>
        <w:outlineLvl w:val="1"/>
        <w:rPr>
          <w:rFonts w:hint="eastAsia" w:asciiTheme="majorEastAsia" w:hAnsiTheme="majorEastAsia" w:eastAsiaTheme="majorEastAsia" w:cstheme="majorEastAsia"/>
          <w:b/>
          <w:sz w:val="24"/>
        </w:rPr>
      </w:pPr>
      <w:bookmarkStart w:id="111" w:name="_Toc5802_WPSOffice_Level1"/>
      <w:bookmarkStart w:id="112" w:name="_Toc25834_WPSOffice_Level1"/>
      <w:r>
        <w:rPr>
          <w:rFonts w:hint="eastAsia" w:asciiTheme="majorEastAsia" w:hAnsiTheme="majorEastAsia" w:eastAsiaTheme="majorEastAsia" w:cstheme="majorEastAsia"/>
          <w:b/>
          <w:sz w:val="24"/>
        </w:rPr>
        <w:t>1. 不如实填写负偏离情况的磋商文件将视为虚假材料。</w:t>
      </w:r>
      <w:bookmarkEnd w:id="111"/>
      <w:bookmarkEnd w:id="112"/>
    </w:p>
    <w:p>
      <w:pPr>
        <w:spacing w:line="360" w:lineRule="auto"/>
        <w:outlineLvl w:val="1"/>
        <w:rPr>
          <w:rFonts w:hint="eastAsia" w:asciiTheme="majorEastAsia" w:hAnsiTheme="majorEastAsia" w:eastAsiaTheme="majorEastAsia" w:cstheme="majorEastAsia"/>
          <w:b/>
          <w:sz w:val="24"/>
        </w:rPr>
      </w:pPr>
      <w:bookmarkStart w:id="113" w:name="_Toc16518_WPSOffice_Level1"/>
      <w:bookmarkStart w:id="114" w:name="_Toc5279_WPSOffice_Level1"/>
      <w:r>
        <w:rPr>
          <w:rFonts w:hint="eastAsia" w:asciiTheme="majorEastAsia" w:hAnsiTheme="majorEastAsia" w:eastAsiaTheme="majorEastAsia" w:cstheme="majorEastAsia"/>
          <w:b/>
          <w:sz w:val="24"/>
        </w:rPr>
        <w:t>2. 磋商要求指竞争性磋商文件中规定的具体要求。</w:t>
      </w:r>
      <w:bookmarkEnd w:id="113"/>
      <w:bookmarkEnd w:id="114"/>
    </w:p>
    <w:p>
      <w:pPr>
        <w:spacing w:line="360" w:lineRule="auto"/>
        <w:outlineLvl w:val="1"/>
        <w:rPr>
          <w:rFonts w:hint="eastAsia" w:asciiTheme="majorEastAsia" w:hAnsiTheme="majorEastAsia" w:eastAsiaTheme="majorEastAsia" w:cstheme="majorEastAsia"/>
          <w:b/>
          <w:sz w:val="24"/>
        </w:rPr>
      </w:pPr>
      <w:bookmarkStart w:id="115" w:name="_Toc32511_WPSOffice_Level1"/>
      <w:bookmarkStart w:id="116" w:name="_Toc3708_WPSOffice_Level1"/>
      <w:r>
        <w:rPr>
          <w:rFonts w:hint="eastAsia" w:asciiTheme="majorEastAsia" w:hAnsiTheme="majorEastAsia" w:eastAsiaTheme="majorEastAsia" w:cstheme="majorEastAsia"/>
          <w:b/>
          <w:sz w:val="24"/>
        </w:rPr>
        <w:t>3. 投标应答指投标人的实际情况。</w:t>
      </w:r>
      <w:bookmarkEnd w:id="115"/>
      <w:bookmarkEnd w:id="116"/>
    </w:p>
    <w:p>
      <w:pPr>
        <w:spacing w:line="360" w:lineRule="auto"/>
        <w:outlineLvl w:val="1"/>
        <w:rPr>
          <w:rFonts w:hint="eastAsia" w:asciiTheme="majorEastAsia" w:hAnsiTheme="majorEastAsia" w:eastAsiaTheme="majorEastAsia" w:cstheme="majorEastAsia"/>
          <w:sz w:val="24"/>
        </w:rPr>
      </w:pPr>
      <w:bookmarkStart w:id="117" w:name="_Toc29161_WPSOffice_Level1"/>
      <w:bookmarkStart w:id="118" w:name="_Toc24016_WPSOffice_Level1"/>
      <w:r>
        <w:rPr>
          <w:rFonts w:hint="eastAsia" w:asciiTheme="majorEastAsia" w:hAnsiTheme="majorEastAsia" w:eastAsiaTheme="majorEastAsia" w:cstheme="majorEastAsia"/>
          <w:b/>
          <w:sz w:val="24"/>
        </w:rPr>
        <w:t>4. 偏离说明指磋商要求与投标应答之间的不同之处</w:t>
      </w:r>
      <w:r>
        <w:rPr>
          <w:rFonts w:hint="eastAsia" w:asciiTheme="majorEastAsia" w:hAnsiTheme="majorEastAsia" w:eastAsiaTheme="majorEastAsia" w:cstheme="majorEastAsia"/>
          <w:sz w:val="24"/>
        </w:rPr>
        <w:t>。</w:t>
      </w:r>
      <w:bookmarkEnd w:id="117"/>
      <w:bookmarkEnd w:id="118"/>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sz w:val="24"/>
        </w:rPr>
        <w:t>（高于磋商要求为正偏离，等同磋商要求为无偏离，低于磋商要求为负偏离）</w:t>
      </w:r>
    </w:p>
    <w:p>
      <w:pPr>
        <w:tabs>
          <w:tab w:val="left" w:pos="10605"/>
        </w:tabs>
        <w:spacing w:line="460" w:lineRule="exact"/>
        <w:ind w:left="210" w:right="653"/>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widowControl/>
        <w:jc w:val="center"/>
        <w:outlineLvl w:val="0"/>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sz w:val="24"/>
        </w:rPr>
        <w:br w:type="page"/>
      </w:r>
      <w:r>
        <w:rPr>
          <w:rFonts w:hint="eastAsia" w:asciiTheme="majorEastAsia" w:hAnsiTheme="majorEastAsia" w:eastAsiaTheme="majorEastAsia" w:cstheme="majorEastAsia"/>
          <w:b/>
          <w:bCs/>
          <w:sz w:val="28"/>
          <w:szCs w:val="28"/>
        </w:rPr>
        <w:t>拟派本项目人员名单及分工一览表</w:t>
      </w:r>
    </w:p>
    <w:tbl>
      <w:tblPr>
        <w:tblStyle w:val="17"/>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130"/>
        <w:gridCol w:w="710"/>
        <w:gridCol w:w="993"/>
        <w:gridCol w:w="2837"/>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序号</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姓名</w:t>
            </w: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年龄</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学历</w:t>
            </w:r>
          </w:p>
        </w:tc>
        <w:tc>
          <w:tcPr>
            <w:tcW w:w="2837"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分工</w:t>
            </w: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283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2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szCs w:val="24"/>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283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4</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283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5</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283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6</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283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7</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283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283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283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283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r>
    </w:tbl>
    <w:p>
      <w:pPr>
        <w:rPr>
          <w:rFonts w:hint="eastAsia" w:asciiTheme="majorEastAsia" w:hAnsiTheme="majorEastAsia" w:eastAsiaTheme="majorEastAsia" w:cstheme="majorEastAsia"/>
          <w:position w:val="-40"/>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spacing w:line="48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供应商：（盖章）</w:t>
      </w:r>
      <w:r>
        <w:rPr>
          <w:rFonts w:hint="eastAsia" w:asciiTheme="majorEastAsia" w:hAnsiTheme="majorEastAsia" w:eastAsiaTheme="majorEastAsia" w:cstheme="majorEastAsia"/>
          <w:sz w:val="24"/>
          <w:u w:val="single"/>
          <w:lang w:val="en-US" w:eastAsia="zh-CN"/>
        </w:rPr>
        <w:t xml:space="preserve">           </w:t>
      </w:r>
    </w:p>
    <w:p>
      <w:pPr>
        <w:spacing w:line="48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szCs w:val="24"/>
        </w:rPr>
        <w:t>（签字或盖章）</w:t>
      </w:r>
    </w:p>
    <w:p>
      <w:pPr>
        <w:spacing w:line="440" w:lineRule="exact"/>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日  期：</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w:t>
      </w:r>
    </w:p>
    <w:p>
      <w:pPr>
        <w:spacing w:line="440" w:lineRule="exact"/>
        <w:jc w:val="center"/>
        <w:rPr>
          <w:rFonts w:hint="eastAsia" w:asciiTheme="majorEastAsia" w:hAnsiTheme="majorEastAsia" w:eastAsiaTheme="majorEastAsia" w:cstheme="majorEastAsia"/>
          <w:b/>
          <w:sz w:val="32"/>
          <w:szCs w:val="32"/>
        </w:rPr>
      </w:pPr>
    </w:p>
    <w:p>
      <w:pPr>
        <w:spacing w:afterLines="50"/>
        <w:jc w:val="center"/>
        <w:outlineLvl w:val="0"/>
        <w:rPr>
          <w:rFonts w:hint="eastAsia" w:asciiTheme="majorEastAsia" w:hAnsiTheme="majorEastAsia" w:eastAsiaTheme="majorEastAsia" w:cstheme="majorEastAsia"/>
          <w:b/>
          <w:sz w:val="28"/>
          <w:szCs w:val="28"/>
        </w:rPr>
      </w:pPr>
    </w:p>
    <w:p>
      <w:pPr>
        <w:spacing w:afterLines="50"/>
        <w:jc w:val="center"/>
        <w:outlineLvl w:val="0"/>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项目实施方案</w:t>
      </w:r>
    </w:p>
    <w:p>
      <w:pPr>
        <w:spacing w:line="560" w:lineRule="exact"/>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color w:val="000000"/>
          <w:sz w:val="44"/>
        </w:rPr>
        <w:br w:type="page"/>
      </w:r>
      <w:bookmarkStart w:id="119" w:name="_Toc3218_WPSOffice_Level1"/>
      <w:bookmarkStart w:id="120" w:name="_Toc4680_WPSOffice_Level1"/>
      <w:r>
        <w:rPr>
          <w:rFonts w:hint="eastAsia" w:asciiTheme="majorEastAsia" w:hAnsiTheme="majorEastAsia" w:eastAsiaTheme="majorEastAsia" w:cstheme="majorEastAsia"/>
          <w:b/>
          <w:sz w:val="32"/>
          <w:szCs w:val="32"/>
        </w:rPr>
        <w:t>近三年主要相关业绩一览表</w:t>
      </w:r>
      <w:bookmarkEnd w:id="119"/>
      <w:bookmarkEnd w:id="120"/>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p>
    <w:p>
      <w:pPr>
        <w:spacing w:line="460" w:lineRule="exact"/>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p>
    <w:p>
      <w:pPr>
        <w:spacing w:line="460" w:lineRule="exact"/>
        <w:rPr>
          <w:rFonts w:hint="eastAsia" w:asciiTheme="majorEastAsia" w:hAnsiTheme="majorEastAsia" w:eastAsiaTheme="majorEastAsia" w:cstheme="majorEastAsia"/>
          <w:szCs w:val="21"/>
          <w:u w:val="single"/>
        </w:rPr>
      </w:pPr>
      <w:r>
        <w:rPr>
          <w:rFonts w:hint="eastAsia" w:asciiTheme="majorEastAsia" w:hAnsiTheme="majorEastAsia" w:eastAsiaTheme="majorEastAsia" w:cstheme="majorEastAsia"/>
          <w:sz w:val="24"/>
        </w:rPr>
        <w:t>包号：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Cs w:val="21"/>
          <w:u w:val="single"/>
        </w:rPr>
        <w:t xml:space="preserve">                </w:t>
      </w:r>
    </w:p>
    <w:p>
      <w:pPr>
        <w:spacing w:line="460" w:lineRule="exact"/>
        <w:rPr>
          <w:rFonts w:hint="eastAsia" w:asciiTheme="majorEastAsia" w:hAnsiTheme="majorEastAsia" w:eastAsiaTheme="majorEastAsia" w:cstheme="majorEastAsia"/>
          <w:szCs w:val="21"/>
          <w:u w:val="single"/>
        </w:rPr>
      </w:pPr>
    </w:p>
    <w:tbl>
      <w:tblPr>
        <w:tblStyle w:val="17"/>
        <w:tblW w:w="10291"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741"/>
        <w:gridCol w:w="733"/>
        <w:gridCol w:w="939"/>
        <w:gridCol w:w="1136"/>
        <w:gridCol w:w="834"/>
        <w:gridCol w:w="733"/>
        <w:gridCol w:w="2445"/>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6" w:type="dxa"/>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序号</w:t>
            </w:r>
          </w:p>
        </w:tc>
        <w:tc>
          <w:tcPr>
            <w:tcW w:w="1741" w:type="dxa"/>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用户单位名称</w:t>
            </w:r>
          </w:p>
        </w:tc>
        <w:tc>
          <w:tcPr>
            <w:tcW w:w="733" w:type="dxa"/>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项目内容</w:t>
            </w:r>
          </w:p>
        </w:tc>
        <w:tc>
          <w:tcPr>
            <w:tcW w:w="939" w:type="dxa"/>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实施地点</w:t>
            </w:r>
          </w:p>
        </w:tc>
        <w:tc>
          <w:tcPr>
            <w:tcW w:w="1136" w:type="dxa"/>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联系人及联系方式</w:t>
            </w:r>
          </w:p>
        </w:tc>
        <w:tc>
          <w:tcPr>
            <w:tcW w:w="834" w:type="dxa"/>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项目起止时间</w:t>
            </w:r>
          </w:p>
        </w:tc>
        <w:tc>
          <w:tcPr>
            <w:tcW w:w="733" w:type="dxa"/>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合同金额</w:t>
            </w:r>
          </w:p>
        </w:tc>
        <w:tc>
          <w:tcPr>
            <w:tcW w:w="2445" w:type="dxa"/>
            <w:tcBorders>
              <w:top w:val="single" w:color="auto" w:sz="4" w:space="0"/>
              <w:left w:val="single" w:color="auto" w:sz="4" w:space="0"/>
              <w:bottom w:val="single" w:color="auto" w:sz="4" w:space="0"/>
              <w:right w:val="single" w:color="auto" w:sz="4" w:space="0"/>
            </w:tcBorders>
          </w:tcPr>
          <w:p>
            <w:pPr>
              <w:spacing w:line="460" w:lineRule="exact"/>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验收报告或用户出具的成功履行合同的相关证明材料</w:t>
            </w:r>
          </w:p>
        </w:tc>
        <w:tc>
          <w:tcPr>
            <w:tcW w:w="1004" w:type="dxa"/>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2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Theme="majorEastAsia" w:hAnsiTheme="majorEastAsia" w:eastAsiaTheme="majorEastAsia" w:cstheme="majorEastAsia"/>
                <w:szCs w:val="21"/>
              </w:rPr>
            </w:pPr>
          </w:p>
        </w:tc>
        <w:tc>
          <w:tcPr>
            <w:tcW w:w="1741"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733"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939"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1136"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834"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733"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2445"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1004"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Theme="majorEastAsia" w:hAnsiTheme="majorEastAsia" w:eastAsiaTheme="majorEastAsia" w:cstheme="majorEastAsia"/>
                <w:szCs w:val="21"/>
              </w:rPr>
            </w:pPr>
          </w:p>
        </w:tc>
        <w:tc>
          <w:tcPr>
            <w:tcW w:w="1741"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733"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939"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1136"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834"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733"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2445"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1004"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Theme="majorEastAsia" w:hAnsiTheme="majorEastAsia" w:eastAsiaTheme="majorEastAsia" w:cstheme="majorEastAsia"/>
                <w:szCs w:val="21"/>
              </w:rPr>
            </w:pPr>
          </w:p>
        </w:tc>
        <w:tc>
          <w:tcPr>
            <w:tcW w:w="1741"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733"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939"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1136"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834"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733"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2445"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1004"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Theme="majorEastAsia" w:hAnsiTheme="majorEastAsia" w:eastAsiaTheme="majorEastAsia" w:cstheme="majorEastAsia"/>
                <w:szCs w:val="21"/>
              </w:rPr>
            </w:pPr>
          </w:p>
        </w:tc>
        <w:tc>
          <w:tcPr>
            <w:tcW w:w="1741"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733"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939"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1136"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834"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733"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2445"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1004"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r>
    </w:tbl>
    <w:p>
      <w:pPr>
        <w:spacing w:line="56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注：</w:t>
      </w:r>
    </w:p>
    <w:p>
      <w:pPr>
        <w:spacing w:line="560" w:lineRule="exact"/>
        <w:ind w:left="0" w:leftChars="0" w:firstLine="0" w:firstLineChars="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若磋商文件第二部分要求提供投标人实施能力的，投标人所列业绩应按其要求将证明材料按顺序附后。</w:t>
      </w:r>
    </w:p>
    <w:p>
      <w:pPr>
        <w:spacing w:line="5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spacing w:line="460" w:lineRule="exact"/>
        <w:jc w:val="center"/>
        <w:outlineLvl w:val="1"/>
        <w:rPr>
          <w:rFonts w:hint="eastAsia" w:asciiTheme="majorEastAsia" w:hAnsiTheme="majorEastAsia" w:eastAsiaTheme="majorEastAsia" w:cstheme="majorEastAsia"/>
          <w:b/>
          <w:sz w:val="32"/>
          <w:szCs w:val="32"/>
        </w:rPr>
      </w:pPr>
      <w:bookmarkStart w:id="121" w:name="_Toc17498_WPSOffice_Level1"/>
      <w:bookmarkStart w:id="122" w:name="_Toc32349_WPSOffice_Level1"/>
      <w:r>
        <w:rPr>
          <w:rFonts w:hint="eastAsia" w:asciiTheme="majorEastAsia" w:hAnsiTheme="majorEastAsia" w:eastAsiaTheme="majorEastAsia" w:cstheme="majorEastAsia"/>
          <w:b/>
          <w:sz w:val="32"/>
          <w:szCs w:val="32"/>
        </w:rPr>
        <w:t>售后服务承诺及培训内容</w:t>
      </w:r>
      <w:bookmarkEnd w:id="121"/>
      <w:bookmarkEnd w:id="122"/>
    </w:p>
    <w:p>
      <w:pPr>
        <w:spacing w:line="460" w:lineRule="exact"/>
        <w:rPr>
          <w:rFonts w:hint="eastAsia" w:asciiTheme="majorEastAsia" w:hAnsiTheme="majorEastAsia" w:eastAsiaTheme="majorEastAsia" w:cstheme="majorEastAsia"/>
          <w:b/>
          <w:sz w:val="24"/>
        </w:rPr>
      </w:pPr>
    </w:p>
    <w:p>
      <w:pPr>
        <w:spacing w:line="460" w:lineRule="exact"/>
        <w:ind w:firstLine="3120" w:firstLineChars="13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（由投标人提供）</w:t>
      </w:r>
    </w:p>
    <w:p>
      <w:pPr>
        <w:spacing w:line="620" w:lineRule="exact"/>
        <w:rPr>
          <w:rFonts w:hint="eastAsia" w:asciiTheme="majorEastAsia" w:hAnsiTheme="majorEastAsia" w:eastAsiaTheme="majorEastAsia" w:cstheme="majorEastAsia"/>
          <w:b/>
          <w:sz w:val="24"/>
        </w:rPr>
      </w:pPr>
    </w:p>
    <w:p>
      <w:pPr>
        <w:spacing w:line="620" w:lineRule="exact"/>
        <w:rPr>
          <w:rFonts w:hint="eastAsia" w:asciiTheme="majorEastAsia" w:hAnsiTheme="majorEastAsia" w:eastAsiaTheme="majorEastAsia" w:cstheme="majorEastAsia"/>
          <w:b/>
          <w:sz w:val="24"/>
        </w:rPr>
      </w:pPr>
    </w:p>
    <w:p>
      <w:pPr>
        <w:spacing w:line="620" w:lineRule="exact"/>
        <w:rPr>
          <w:rFonts w:hint="eastAsia" w:asciiTheme="majorEastAsia" w:hAnsiTheme="majorEastAsia" w:eastAsiaTheme="majorEastAsia" w:cstheme="majorEastAsia"/>
          <w:b/>
          <w:sz w:val="24"/>
        </w:rPr>
      </w:pPr>
    </w:p>
    <w:p>
      <w:pPr>
        <w:spacing w:line="620" w:lineRule="exact"/>
        <w:rPr>
          <w:rFonts w:hint="eastAsia" w:asciiTheme="majorEastAsia" w:hAnsiTheme="majorEastAsia" w:eastAsiaTheme="majorEastAsia" w:cstheme="majorEastAsia"/>
          <w:b/>
          <w:sz w:val="24"/>
        </w:rPr>
      </w:pPr>
    </w:p>
    <w:p>
      <w:pPr>
        <w:spacing w:line="620" w:lineRule="exact"/>
        <w:rPr>
          <w:rFonts w:hint="eastAsia" w:asciiTheme="majorEastAsia" w:hAnsiTheme="majorEastAsia" w:eastAsiaTheme="majorEastAsia" w:cstheme="majorEastAsia"/>
          <w:b/>
          <w:sz w:val="24"/>
        </w:rPr>
      </w:pPr>
    </w:p>
    <w:p>
      <w:pPr>
        <w:spacing w:line="620" w:lineRule="exact"/>
        <w:rPr>
          <w:rFonts w:hint="eastAsia" w:asciiTheme="majorEastAsia" w:hAnsiTheme="majorEastAsia" w:eastAsiaTheme="majorEastAsia" w:cstheme="majorEastAsia"/>
          <w:b/>
          <w:sz w:val="24"/>
        </w:rPr>
      </w:pPr>
    </w:p>
    <w:p>
      <w:pPr>
        <w:spacing w:line="620" w:lineRule="exact"/>
        <w:rPr>
          <w:rFonts w:hint="eastAsia" w:asciiTheme="majorEastAsia" w:hAnsiTheme="majorEastAsia" w:eastAsiaTheme="majorEastAsia" w:cstheme="majorEastAsia"/>
          <w:b/>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widowControl/>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sz w:val="24"/>
        </w:rPr>
        <w:br w:type="page"/>
      </w:r>
      <w:bookmarkStart w:id="123" w:name="_Toc16009_WPSOffice_Level1"/>
      <w:bookmarkStart w:id="124" w:name="_Toc26863_WPSOffice_Level1"/>
      <w:r>
        <w:rPr>
          <w:rFonts w:hint="eastAsia" w:asciiTheme="majorEastAsia" w:hAnsiTheme="majorEastAsia" w:eastAsiaTheme="majorEastAsia" w:cstheme="majorEastAsia"/>
          <w:b/>
          <w:sz w:val="32"/>
          <w:szCs w:val="32"/>
        </w:rPr>
        <w:t>真诚投标承诺书</w:t>
      </w:r>
      <w:bookmarkEnd w:id="123"/>
      <w:bookmarkEnd w:id="124"/>
    </w:p>
    <w:p>
      <w:pPr>
        <w:rPr>
          <w:rFonts w:hint="eastAsia" w:asciiTheme="majorEastAsia" w:hAnsiTheme="majorEastAsia" w:eastAsiaTheme="majorEastAsia" w:cstheme="majorEastAsia"/>
          <w:sz w:val="24"/>
        </w:rPr>
      </w:pPr>
    </w:p>
    <w:p>
      <w:pPr>
        <w:spacing w:line="24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eastAsia="zh-CN"/>
        </w:rPr>
        <w:t>天津同力源工程咨询有限公司</w:t>
      </w:r>
      <w:r>
        <w:rPr>
          <w:rFonts w:hint="eastAsia" w:asciiTheme="majorEastAsia" w:hAnsiTheme="majorEastAsia" w:eastAsiaTheme="majorEastAsia" w:cstheme="majorEastAsia"/>
          <w:sz w:val="24"/>
        </w:rPr>
        <w:t>：</w:t>
      </w:r>
    </w:p>
    <w:p>
      <w:pPr>
        <w:spacing w:line="240" w:lineRule="auto"/>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本投标人愿意参与“</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项目（项目编号：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）”的投标，并作出如下承诺：</w:t>
      </w:r>
    </w:p>
    <w:p>
      <w:pPr>
        <w:numPr>
          <w:ilvl w:val="0"/>
          <w:numId w:val="0"/>
        </w:numPr>
        <w:spacing w:line="240" w:lineRule="auto"/>
        <w:ind w:left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1、</w:t>
      </w:r>
      <w:r>
        <w:rPr>
          <w:rFonts w:hint="eastAsia" w:asciiTheme="majorEastAsia" w:hAnsiTheme="majorEastAsia" w:eastAsiaTheme="majorEastAsia" w:cstheme="majorEastAsia"/>
          <w:sz w:val="24"/>
        </w:rPr>
        <w:t>未与其它任何公司\个人达成固定价格的协议。</w:t>
      </w:r>
    </w:p>
    <w:p>
      <w:pPr>
        <w:numPr>
          <w:ilvl w:val="0"/>
          <w:numId w:val="0"/>
        </w:numPr>
        <w:spacing w:line="240" w:lineRule="auto"/>
        <w:ind w:left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2、</w:t>
      </w:r>
      <w:r>
        <w:rPr>
          <w:rFonts w:hint="eastAsia" w:asciiTheme="majorEastAsia" w:hAnsiTheme="majorEastAsia" w:eastAsiaTheme="majorEastAsia" w:cstheme="majorEastAsia"/>
          <w:sz w:val="24"/>
        </w:rPr>
        <w:t>在投标撤回之前，不做以下任何事项：</w:t>
      </w:r>
    </w:p>
    <w:p>
      <w:pPr>
        <w:spacing w:line="240" w:lineRule="auto"/>
        <w:ind w:firstLine="720" w:firstLineChars="300"/>
        <w:outlineLvl w:val="1"/>
        <w:rPr>
          <w:rFonts w:hint="eastAsia" w:asciiTheme="majorEastAsia" w:hAnsiTheme="majorEastAsia" w:eastAsiaTheme="majorEastAsia" w:cstheme="majorEastAsia"/>
          <w:sz w:val="24"/>
        </w:rPr>
      </w:pPr>
      <w:bookmarkStart w:id="125" w:name="_Toc10906_WPSOffice_Level1"/>
      <w:bookmarkStart w:id="126" w:name="_Toc29810_WPSOffice_Level1"/>
      <w:r>
        <w:rPr>
          <w:rFonts w:hint="eastAsia" w:asciiTheme="majorEastAsia" w:hAnsiTheme="majorEastAsia" w:eastAsiaTheme="majorEastAsia" w:cstheme="majorEastAsia"/>
          <w:sz w:val="24"/>
        </w:rPr>
        <w:t>（1）向采购人以外的人员泄漏投标情况；</w:t>
      </w:r>
      <w:bookmarkEnd w:id="125"/>
      <w:bookmarkEnd w:id="126"/>
    </w:p>
    <w:p>
      <w:pPr>
        <w:spacing w:line="240" w:lineRule="auto"/>
        <w:ind w:firstLine="720" w:firstLineChars="300"/>
        <w:outlineLvl w:val="1"/>
        <w:rPr>
          <w:rFonts w:hint="eastAsia" w:asciiTheme="majorEastAsia" w:hAnsiTheme="majorEastAsia" w:eastAsiaTheme="majorEastAsia" w:cstheme="majorEastAsia"/>
          <w:sz w:val="24"/>
        </w:rPr>
      </w:pPr>
      <w:bookmarkStart w:id="127" w:name="_Toc10541_WPSOffice_Level1"/>
      <w:bookmarkStart w:id="128" w:name="_Toc22781_WPSOffice_Level1"/>
      <w:r>
        <w:rPr>
          <w:rFonts w:hint="eastAsia" w:asciiTheme="majorEastAsia" w:hAnsiTheme="majorEastAsia" w:eastAsiaTheme="majorEastAsia" w:cstheme="majorEastAsia"/>
          <w:sz w:val="24"/>
        </w:rPr>
        <w:t>（2）与其他参与本次投标的人达成可能限制竞争的协议；</w:t>
      </w:r>
      <w:bookmarkEnd w:id="127"/>
      <w:bookmarkEnd w:id="128"/>
    </w:p>
    <w:p>
      <w:pPr>
        <w:spacing w:line="240" w:lineRule="auto"/>
        <w:ind w:firstLine="720" w:firstLineChars="300"/>
        <w:outlineLvl w:val="1"/>
        <w:rPr>
          <w:rFonts w:hint="eastAsia" w:asciiTheme="majorEastAsia" w:hAnsiTheme="majorEastAsia" w:eastAsiaTheme="majorEastAsia" w:cstheme="majorEastAsia"/>
          <w:sz w:val="24"/>
        </w:rPr>
      </w:pPr>
      <w:bookmarkStart w:id="129" w:name="_Toc6755_WPSOffice_Level1"/>
      <w:bookmarkStart w:id="130" w:name="_Toc11968_WPSOffice_Level1"/>
      <w:r>
        <w:rPr>
          <w:rFonts w:hint="eastAsia" w:asciiTheme="majorEastAsia" w:hAnsiTheme="majorEastAsia" w:eastAsiaTheme="majorEastAsia" w:cstheme="majorEastAsia"/>
          <w:sz w:val="24"/>
        </w:rPr>
        <w:t>（3）为影响投标而向有关招标当事者提供金钱、物质及服务；</w:t>
      </w:r>
      <w:bookmarkEnd w:id="129"/>
      <w:bookmarkEnd w:id="130"/>
    </w:p>
    <w:p>
      <w:pPr>
        <w:tabs>
          <w:tab w:val="left" w:pos="720"/>
        </w:tabs>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3、保证所投产品来自合法的供货渠道，若</w:t>
      </w:r>
      <w:r>
        <w:rPr>
          <w:rFonts w:hint="eastAsia" w:asciiTheme="majorEastAsia" w:hAnsiTheme="majorEastAsia" w:eastAsiaTheme="majorEastAsia" w:cstheme="majorEastAsia"/>
          <w:sz w:val="24"/>
          <w:lang w:eastAsia="zh-CN"/>
        </w:rPr>
        <w:t>成交</w:t>
      </w:r>
      <w:r>
        <w:rPr>
          <w:rFonts w:hint="eastAsia" w:asciiTheme="majorEastAsia" w:hAnsiTheme="majorEastAsia" w:eastAsiaTheme="majorEastAsia" w:cstheme="majorEastAsia"/>
          <w:sz w:val="24"/>
        </w:rPr>
        <w:t>，则有义务向采购人提供其需要的有效书面证明材料。如果提供非法渠道的商品，视为欺诈，根据《中华人民共和国消费者权益保护法》承担商品价值双倍的赔偿；同时承担采购人依据现行的国家法律法规追究的其他责任。</w:t>
      </w:r>
    </w:p>
    <w:p>
      <w:pPr>
        <w:spacing w:line="24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4、保证递交的投标文件不提供虚假材料，否则接受政府采购法第七十七条</w:t>
      </w:r>
    </w:p>
    <w:p>
      <w:pPr>
        <w:spacing w:line="240" w:lineRule="auto"/>
        <w:ind w:left="0" w:leftChars="0" w:firstLine="0" w:firstLineChars="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规定的处罚，列入不良行为记录名单，一至三年内禁止参加政府采购活动。以下材料或情形之一不实的均视为提供虚假材料：</w:t>
      </w:r>
    </w:p>
    <w:p>
      <w:pPr>
        <w:spacing w:line="240" w:lineRule="auto"/>
        <w:outlineLvl w:val="2"/>
        <w:rPr>
          <w:rFonts w:hint="eastAsia" w:asciiTheme="majorEastAsia" w:hAnsiTheme="majorEastAsia" w:eastAsiaTheme="majorEastAsia" w:cstheme="majorEastAsia"/>
          <w:sz w:val="24"/>
        </w:rPr>
      </w:pPr>
      <w:bookmarkStart w:id="131" w:name="_Toc8355_WPSOffice_Level1"/>
      <w:bookmarkStart w:id="132" w:name="_Toc6401_WPSOffice_Level1"/>
      <w:r>
        <w:rPr>
          <w:rFonts w:hint="eastAsia" w:asciiTheme="majorEastAsia" w:hAnsiTheme="majorEastAsia" w:eastAsiaTheme="majorEastAsia" w:cstheme="majorEastAsia"/>
          <w:sz w:val="24"/>
        </w:rPr>
        <w:t>（1）投标价格；（2）交货期；（3）业绩；（4）资质文件；</w:t>
      </w:r>
      <w:bookmarkEnd w:id="131"/>
      <w:bookmarkEnd w:id="132"/>
    </w:p>
    <w:p>
      <w:pPr>
        <w:spacing w:line="240" w:lineRule="auto"/>
        <w:rPr>
          <w:rFonts w:hint="eastAsia" w:asciiTheme="majorEastAsia" w:hAnsiTheme="majorEastAsia" w:eastAsiaTheme="majorEastAsia" w:cstheme="majorEastAsia"/>
          <w:sz w:val="24"/>
        </w:rPr>
      </w:pPr>
      <w:bookmarkStart w:id="133" w:name="_Toc28588_WPSOffice_Level1"/>
      <w:bookmarkStart w:id="134" w:name="_Toc25878_WPSOffice_Level1"/>
      <w:r>
        <w:rPr>
          <w:rFonts w:hint="eastAsia" w:asciiTheme="majorEastAsia" w:hAnsiTheme="majorEastAsia" w:eastAsiaTheme="majorEastAsia" w:cstheme="majorEastAsia"/>
          <w:sz w:val="24"/>
        </w:rPr>
        <w:t>（5）技术响应；（6）服务及履约情况；</w:t>
      </w:r>
      <w:bookmarkEnd w:id="133"/>
      <w:bookmarkEnd w:id="134"/>
    </w:p>
    <w:p>
      <w:pPr>
        <w:spacing w:line="24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特此承诺。</w:t>
      </w:r>
    </w:p>
    <w:p>
      <w:pPr>
        <w:spacing w:line="24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240" w:lineRule="auto"/>
        <w:rPr>
          <w:rFonts w:hint="eastAsia" w:asciiTheme="majorEastAsia" w:hAnsiTheme="majorEastAsia" w:eastAsiaTheme="majorEastAsia" w:cstheme="majorEastAsia"/>
          <w:sz w:val="24"/>
        </w:rPr>
      </w:pPr>
    </w:p>
    <w:p>
      <w:pPr>
        <w:spacing w:line="24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240" w:lineRule="auto"/>
        <w:rPr>
          <w:rFonts w:hint="eastAsia" w:asciiTheme="majorEastAsia" w:hAnsiTheme="majorEastAsia" w:eastAsiaTheme="majorEastAsia" w:cstheme="majorEastAsia"/>
          <w:sz w:val="24"/>
        </w:rPr>
      </w:pPr>
    </w:p>
    <w:p>
      <w:pPr>
        <w:spacing w:line="24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autoSpaceDE w:val="0"/>
        <w:autoSpaceDN w:val="0"/>
        <w:adjustRightInd w:val="0"/>
        <w:spacing w:line="240" w:lineRule="auto"/>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24"/>
        </w:rPr>
        <w:br w:type="page"/>
      </w:r>
      <w:bookmarkStart w:id="135" w:name="_Toc23015_WPSOffice_Level1"/>
      <w:bookmarkStart w:id="136" w:name="_Toc11510_WPSOffice_Level1"/>
      <w:r>
        <w:rPr>
          <w:rFonts w:hint="eastAsia" w:asciiTheme="majorEastAsia" w:hAnsiTheme="majorEastAsia" w:eastAsiaTheme="majorEastAsia" w:cstheme="majorEastAsia"/>
          <w:b/>
          <w:sz w:val="32"/>
          <w:szCs w:val="32"/>
        </w:rPr>
        <w:t>依法缴纳税收和社会保险承诺书</w:t>
      </w:r>
      <w:bookmarkEnd w:id="135"/>
      <w:bookmarkEnd w:id="136"/>
    </w:p>
    <w:p>
      <w:pPr>
        <w:jc w:val="center"/>
        <w:rPr>
          <w:rFonts w:hint="eastAsia" w:asciiTheme="majorEastAsia" w:hAnsiTheme="majorEastAsia" w:eastAsiaTheme="majorEastAsia" w:cstheme="majorEastAsia"/>
          <w:b/>
          <w:sz w:val="32"/>
          <w:szCs w:val="32"/>
        </w:rPr>
      </w:pP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我单位现参与</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项目（项目编号：          ），并作出如下承诺：</w:t>
      </w: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我单位依法缴纳税收和员工社会保险。同时，相关证明文件密封在该项目投标文件中，可随时接受采购人的检查验证。</w:t>
      </w: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如违反上述承诺，我单位将按照相关法律规定接受处罚，并通过“天津市政府采购网”等相关媒体予以公布。</w:t>
      </w: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特此承诺。</w:t>
      </w:r>
    </w:p>
    <w:p>
      <w:pPr>
        <w:spacing w:line="560" w:lineRule="exact"/>
        <w:ind w:firstLine="601"/>
        <w:rPr>
          <w:rFonts w:hint="eastAsia" w:asciiTheme="majorEastAsia" w:hAnsiTheme="majorEastAsia" w:eastAsiaTheme="majorEastAsia" w:cstheme="majorEastAsia"/>
          <w:sz w:val="24"/>
        </w:rPr>
      </w:pP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rPr>
          <w:rFonts w:hint="eastAsia" w:asciiTheme="majorEastAsia" w:hAnsiTheme="majorEastAsia" w:eastAsiaTheme="majorEastAsia" w:cstheme="majorEastAsia"/>
        </w:rPr>
      </w:pPr>
    </w:p>
    <w:p>
      <w:pPr>
        <w:ind w:left="0" w:leftChars="0" w:firstLine="0" w:firstLineChars="0"/>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color w:val="333399"/>
          <w:spacing w:val="20"/>
          <w:w w:val="66"/>
          <w:sz w:val="44"/>
          <w:szCs w:val="44"/>
        </w:rPr>
        <w:br w:type="page"/>
      </w:r>
      <w:bookmarkStart w:id="137" w:name="_Toc1246_WPSOffice_Level1"/>
      <w:bookmarkStart w:id="138" w:name="_Toc1320_WPSOffice_Level1"/>
      <w:r>
        <w:rPr>
          <w:rFonts w:hint="eastAsia" w:asciiTheme="majorEastAsia" w:hAnsiTheme="majorEastAsia" w:eastAsiaTheme="majorEastAsia" w:cstheme="majorEastAsia"/>
          <w:b/>
          <w:sz w:val="32"/>
          <w:szCs w:val="32"/>
        </w:rPr>
        <w:t>遵纪守法承诺书</w:t>
      </w:r>
      <w:bookmarkEnd w:id="137"/>
      <w:bookmarkEnd w:id="138"/>
    </w:p>
    <w:p>
      <w:pPr>
        <w:jc w:val="center"/>
        <w:rPr>
          <w:rFonts w:hint="eastAsia" w:asciiTheme="majorEastAsia" w:hAnsiTheme="majorEastAsia" w:eastAsiaTheme="majorEastAsia" w:cstheme="majorEastAsia"/>
          <w:b/>
          <w:sz w:val="24"/>
        </w:rPr>
      </w:pP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我单位现参加</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项目（项目编号：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），并作出如下承诺：</w:t>
      </w: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我单位不存在《中华人民共和国政府采购法实施条例》(国务院令第658号)第18条中“单位负责人为同一人或者存在直接控股、管理关系的不同供应商，不得参加同一合同项下的政府采购活动”的情形，如若出现以上情况，一经查实，视为无效投标并接受相应处罚。</w:t>
      </w:r>
    </w:p>
    <w:p>
      <w:pPr>
        <w:spacing w:line="560" w:lineRule="exact"/>
        <w:ind w:firstLine="601"/>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2.我单位在参加政府采购活动前三年内，在经营活动中没有重大违法记录，同时在《天津市政府采购网》完成注册并通过审核成为合格供应商</w:t>
      </w:r>
      <w:r>
        <w:rPr>
          <w:rFonts w:hint="eastAsia" w:asciiTheme="majorEastAsia" w:hAnsiTheme="majorEastAsia" w:eastAsiaTheme="majorEastAsia" w:cstheme="majorEastAsia"/>
          <w:sz w:val="24"/>
          <w:lang w:eastAsia="zh-CN"/>
        </w:rPr>
        <w:t>。</w:t>
      </w:r>
    </w:p>
    <w:p>
      <w:pPr>
        <w:spacing w:line="560" w:lineRule="exact"/>
        <w:ind w:firstLine="601"/>
        <w:rPr>
          <w:rFonts w:hint="eastAsia" w:asciiTheme="majorEastAsia" w:hAnsiTheme="majorEastAsia" w:eastAsiaTheme="majorEastAsia" w:cstheme="majorEastAsia"/>
          <w:sz w:val="24"/>
        </w:rPr>
      </w:pP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特此承诺。</w:t>
      </w:r>
    </w:p>
    <w:p>
      <w:pPr>
        <w:spacing w:line="560" w:lineRule="exact"/>
        <w:ind w:firstLine="601"/>
        <w:rPr>
          <w:rFonts w:hint="eastAsia" w:asciiTheme="majorEastAsia" w:hAnsiTheme="majorEastAsia" w:eastAsiaTheme="majorEastAsia" w:cstheme="majorEastAsia"/>
          <w:sz w:val="24"/>
        </w:rPr>
      </w:pP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spacing w:line="360" w:lineRule="auto"/>
        <w:outlineLvl w:val="9"/>
        <w:rPr>
          <w:rFonts w:hint="eastAsia" w:asciiTheme="majorEastAsia" w:hAnsiTheme="majorEastAsia" w:eastAsiaTheme="majorEastAsia" w:cstheme="majorEastAsia"/>
          <w:b/>
          <w:sz w:val="32"/>
          <w:szCs w:val="32"/>
        </w:rPr>
      </w:pPr>
      <w:bookmarkStart w:id="139" w:name="_Toc14323_WPSOffice_Level1"/>
      <w:bookmarkStart w:id="140" w:name="_Toc4237_WPSOffice_Level1"/>
    </w:p>
    <w:bookmarkEnd w:id="139"/>
    <w:bookmarkEnd w:id="140"/>
    <w:p>
      <w:pPr>
        <w:spacing w:line="360" w:lineRule="auto"/>
        <w:jc w:val="center"/>
        <w:outlineLvl w:val="1"/>
        <w:rPr>
          <w:rFonts w:hint="eastAsia" w:asciiTheme="majorEastAsia" w:hAnsiTheme="majorEastAsia" w:eastAsiaTheme="majorEastAsia" w:cstheme="majorEastAsia"/>
          <w:b/>
          <w:sz w:val="32"/>
          <w:szCs w:val="32"/>
        </w:rPr>
      </w:pPr>
      <w:bookmarkStart w:id="141" w:name="_Toc28663_WPSOffice_Level1"/>
      <w:bookmarkStart w:id="142" w:name="_Toc2080_WPSOffice_Level1"/>
      <w:r>
        <w:rPr>
          <w:rFonts w:hint="eastAsia" w:asciiTheme="majorEastAsia" w:hAnsiTheme="majorEastAsia" w:eastAsiaTheme="majorEastAsia" w:cstheme="majorEastAsia"/>
          <w:b/>
          <w:sz w:val="32"/>
          <w:szCs w:val="32"/>
        </w:rPr>
        <w:t>环保产品磋商一览表</w:t>
      </w:r>
      <w:bookmarkEnd w:id="141"/>
      <w:bookmarkEnd w:id="142"/>
    </w:p>
    <w:p>
      <w:pPr>
        <w:spacing w:line="460" w:lineRule="exact"/>
        <w:jc w:val="center"/>
        <w:rPr>
          <w:rFonts w:hint="eastAsia" w:asciiTheme="majorEastAsia" w:hAnsiTheme="majorEastAsia" w:eastAsiaTheme="majorEastAsia" w:cstheme="majorEastAsia"/>
          <w:b/>
          <w:sz w:val="24"/>
        </w:rPr>
      </w:pPr>
    </w:p>
    <w:p>
      <w:pPr>
        <w:spacing w:line="360" w:lineRule="auto"/>
        <w:outlineLvl w:val="9"/>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p>
    <w:p>
      <w:pPr>
        <w:spacing w:line="360" w:lineRule="auto"/>
        <w:outlineLvl w:val="9"/>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p>
    <w:p>
      <w:pPr>
        <w:spacing w:line="460" w:lineRule="exact"/>
        <w:rPr>
          <w:rFonts w:hint="eastAsia" w:asciiTheme="majorEastAsia" w:hAnsiTheme="majorEastAsia" w:eastAsiaTheme="majorEastAsia" w:cstheme="majorEastAsia"/>
          <w:szCs w:val="21"/>
          <w:u w:val="single"/>
        </w:rPr>
      </w:pPr>
      <w:r>
        <w:rPr>
          <w:rFonts w:hint="eastAsia" w:asciiTheme="majorEastAsia" w:hAnsiTheme="majorEastAsia" w:eastAsiaTheme="majorEastAsia" w:cstheme="majorEastAsia"/>
          <w:sz w:val="24"/>
        </w:rPr>
        <w:t>包号：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Cs w:val="21"/>
          <w:u w:val="single"/>
        </w:rPr>
        <w:t xml:space="preserve">                </w:t>
      </w:r>
    </w:p>
    <w:p>
      <w:pPr>
        <w:spacing w:line="460" w:lineRule="exact"/>
        <w:ind w:firstLine="6820" w:firstLineChars="3100"/>
        <w:rPr>
          <w:rFonts w:hint="eastAsia" w:asciiTheme="majorEastAsia" w:hAnsiTheme="majorEastAsia" w:eastAsiaTheme="majorEastAsia" w:cstheme="majorEastAsia"/>
          <w:szCs w:val="21"/>
        </w:rPr>
      </w:pPr>
    </w:p>
    <w:tbl>
      <w:tblPr>
        <w:tblStyle w:val="17"/>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693"/>
        <w:gridCol w:w="1521"/>
        <w:gridCol w:w="1046"/>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序号</w:t>
            </w:r>
          </w:p>
        </w:tc>
        <w:tc>
          <w:tcPr>
            <w:tcW w:w="2693"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名称</w:t>
            </w:r>
          </w:p>
        </w:tc>
        <w:tc>
          <w:tcPr>
            <w:tcW w:w="152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制造商</w:t>
            </w:r>
          </w:p>
        </w:tc>
        <w:tc>
          <w:tcPr>
            <w:tcW w:w="1046"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品牌</w:t>
            </w: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环境标志认证证书号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7" w:type="dxa"/>
            <w:gridSpan w:val="5"/>
            <w:tcBorders>
              <w:top w:val="single" w:color="auto" w:sz="4" w:space="0"/>
              <w:left w:val="single" w:color="auto" w:sz="4" w:space="0"/>
              <w:bottom w:val="single" w:color="auto" w:sz="4" w:space="0"/>
              <w:right w:val="single" w:color="auto" w:sz="4" w:space="0"/>
            </w:tcBorders>
            <w:vAlign w:val="center"/>
          </w:tcPr>
          <w:p>
            <w:pPr>
              <w:ind w:left="27" w:hanging="28" w:hangingChars="13"/>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获得认证的产品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r>
    </w:tbl>
    <w:p>
      <w:pPr>
        <w:spacing w:line="460" w:lineRule="exact"/>
        <w:ind w:left="192"/>
        <w:rPr>
          <w:rFonts w:hint="eastAsia" w:asciiTheme="majorEastAsia" w:hAnsiTheme="majorEastAsia" w:eastAsiaTheme="majorEastAsia" w:cstheme="majorEastAsia"/>
          <w:sz w:val="24"/>
        </w:rPr>
      </w:pPr>
    </w:p>
    <w:p>
      <w:pPr>
        <w:spacing w:line="460" w:lineRule="exact"/>
        <w:ind w:left="0" w:leftChars="0" w:firstLine="0" w:firstLineChars="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注：</w:t>
      </w:r>
    </w:p>
    <w:p>
      <w:pPr>
        <w:spacing w:line="460" w:lineRule="exact"/>
        <w:ind w:left="0" w:leftChars="0" w:firstLine="0" w:firstLineChars="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1.若所投产品为环境标志产品清单内产品（以中国政府采购网公布最新一期的“环境标志产品政府采购清单”为准），或未在清单中列出但具有《环境标志产品认证证书》的产品，需填写该附表，（否则不予认定）</w:t>
      </w:r>
      <w:r>
        <w:rPr>
          <w:rFonts w:hint="eastAsia" w:asciiTheme="majorEastAsia" w:hAnsiTheme="majorEastAsia" w:eastAsiaTheme="majorEastAsia" w:cstheme="majorEastAsia"/>
          <w:sz w:val="24"/>
        </w:rPr>
        <w:t>。</w:t>
      </w:r>
    </w:p>
    <w:p>
      <w:pPr>
        <w:spacing w:line="460" w:lineRule="exact"/>
        <w:ind w:left="0" w:leftChars="0" w:firstLine="0" w:firstLineChars="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sz w:val="24"/>
        </w:rPr>
        <w:t>2.投标产品不涉及到环保产品该附表无需提供。</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spacing w:line="360" w:lineRule="auto"/>
        <w:ind w:left="0" w:leftChars="0" w:firstLine="0" w:firstLineChars="0"/>
        <w:jc w:val="center"/>
        <w:outlineLvl w:val="1"/>
        <w:rPr>
          <w:rFonts w:hint="eastAsia" w:asciiTheme="majorEastAsia" w:hAnsiTheme="majorEastAsia" w:eastAsiaTheme="majorEastAsia" w:cstheme="majorEastAsia"/>
          <w:b/>
          <w:sz w:val="32"/>
          <w:szCs w:val="32"/>
        </w:rPr>
      </w:pPr>
      <w:bookmarkStart w:id="143" w:name="_Toc4878_WPSOffice_Level1"/>
      <w:r>
        <w:rPr>
          <w:rFonts w:hint="eastAsia" w:asciiTheme="majorEastAsia" w:hAnsiTheme="majorEastAsia" w:eastAsiaTheme="majorEastAsia" w:cstheme="majorEastAsia"/>
          <w:b/>
          <w:sz w:val="32"/>
          <w:szCs w:val="32"/>
        </w:rPr>
        <w:t>节能产品磋商一览表</w:t>
      </w:r>
      <w:bookmarkEnd w:id="143"/>
    </w:p>
    <w:p>
      <w:pPr>
        <w:spacing w:line="460" w:lineRule="exact"/>
        <w:jc w:val="center"/>
        <w:rPr>
          <w:rFonts w:hint="eastAsia" w:asciiTheme="majorEastAsia" w:hAnsiTheme="majorEastAsia" w:eastAsiaTheme="majorEastAsia" w:cstheme="majorEastAsia"/>
          <w:b/>
          <w:sz w:val="24"/>
        </w:rPr>
      </w:pPr>
    </w:p>
    <w:p>
      <w:pPr>
        <w:spacing w:line="360" w:lineRule="auto"/>
        <w:outlineLvl w:val="9"/>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p>
    <w:p>
      <w:pPr>
        <w:spacing w:line="360" w:lineRule="auto"/>
        <w:outlineLvl w:val="9"/>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p>
    <w:p>
      <w:pPr>
        <w:spacing w:line="460" w:lineRule="exact"/>
        <w:rPr>
          <w:rFonts w:hint="eastAsia" w:asciiTheme="majorEastAsia" w:hAnsiTheme="majorEastAsia" w:eastAsiaTheme="majorEastAsia" w:cstheme="majorEastAsia"/>
          <w:szCs w:val="21"/>
          <w:u w:val="single"/>
        </w:rPr>
      </w:pPr>
      <w:r>
        <w:rPr>
          <w:rFonts w:hint="eastAsia" w:asciiTheme="majorEastAsia" w:hAnsiTheme="majorEastAsia" w:eastAsiaTheme="majorEastAsia" w:cstheme="majorEastAsia"/>
          <w:sz w:val="24"/>
        </w:rPr>
        <w:t>包号：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Cs w:val="21"/>
          <w:u w:val="single"/>
        </w:rPr>
        <w:t xml:space="preserve">                </w:t>
      </w:r>
    </w:p>
    <w:p>
      <w:pPr>
        <w:spacing w:line="460" w:lineRule="exact"/>
        <w:ind w:firstLine="7440" w:firstLineChars="3100"/>
        <w:rPr>
          <w:rFonts w:hint="eastAsia" w:asciiTheme="majorEastAsia" w:hAnsiTheme="majorEastAsia" w:eastAsiaTheme="majorEastAsia" w:cstheme="majorEastAsia"/>
          <w:sz w:val="24"/>
        </w:rPr>
      </w:pPr>
    </w:p>
    <w:tbl>
      <w:tblPr>
        <w:tblStyle w:val="17"/>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78"/>
        <w:gridCol w:w="1535"/>
        <w:gridCol w:w="1057"/>
        <w:gridCol w:w="2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序号</w:t>
            </w:r>
          </w:p>
        </w:tc>
        <w:tc>
          <w:tcPr>
            <w:tcW w:w="2878"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货物名称</w:t>
            </w:r>
          </w:p>
        </w:tc>
        <w:tc>
          <w:tcPr>
            <w:tcW w:w="153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制造商</w:t>
            </w:r>
          </w:p>
        </w:tc>
        <w:tc>
          <w:tcPr>
            <w:tcW w:w="105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品牌</w:t>
            </w:r>
          </w:p>
        </w:tc>
        <w:tc>
          <w:tcPr>
            <w:tcW w:w="29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节能认证证书号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9" w:type="dxa"/>
            <w:gridSpan w:val="5"/>
            <w:tcBorders>
              <w:top w:val="single" w:color="auto" w:sz="4" w:space="0"/>
              <w:left w:val="single" w:color="auto" w:sz="4" w:space="0"/>
              <w:bottom w:val="single" w:color="auto" w:sz="4" w:space="0"/>
              <w:right w:val="single" w:color="auto" w:sz="4" w:space="0"/>
            </w:tcBorders>
            <w:vAlign w:val="center"/>
          </w:tcPr>
          <w:p>
            <w:pPr>
              <w:ind w:left="27" w:hanging="28" w:hangingChars="13"/>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获得认证的产品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28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29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28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29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p>
        </w:tc>
        <w:tc>
          <w:tcPr>
            <w:tcW w:w="28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29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p>
        </w:tc>
        <w:tc>
          <w:tcPr>
            <w:tcW w:w="28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29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r>
    </w:tbl>
    <w:p>
      <w:pPr>
        <w:spacing w:line="460" w:lineRule="exact"/>
        <w:rPr>
          <w:rFonts w:hint="eastAsia" w:asciiTheme="majorEastAsia" w:hAnsiTheme="majorEastAsia" w:eastAsiaTheme="majorEastAsia" w:cstheme="majorEastAsia"/>
          <w:sz w:val="24"/>
        </w:rPr>
      </w:pPr>
    </w:p>
    <w:p>
      <w:pPr>
        <w:spacing w:line="460" w:lineRule="exact"/>
        <w:ind w:left="0" w:leftChars="0" w:firstLine="0" w:firstLineChars="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注：</w:t>
      </w:r>
    </w:p>
    <w:p>
      <w:pPr>
        <w:spacing w:line="460" w:lineRule="exact"/>
        <w:ind w:left="0" w:leftChars="0" w:firstLine="0" w:firstLineChars="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1.若所投产品为节能产品清单内产品（以中国政府采购网公布最新一期的“节能产品政府采购清单”为准），或未在清单中列出但具有《节能产品认证证书》的产品，需填写该附表（否则不予认定）。</w:t>
      </w:r>
    </w:p>
    <w:p>
      <w:pPr>
        <w:spacing w:line="460" w:lineRule="exact"/>
        <w:ind w:left="0" w:leftChars="0" w:firstLine="0" w:firstLineChars="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sz w:val="24"/>
        </w:rPr>
        <w:t>2.投标产品不涉及到节能产品该附表无需提供。</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widowControl/>
        <w:jc w:val="center"/>
        <w:outlineLvl w:val="1"/>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color w:val="000000"/>
          <w:sz w:val="24"/>
        </w:rPr>
        <w:br w:type="page"/>
      </w:r>
      <w:bookmarkStart w:id="144" w:name="_Toc8321_WPSOffice_Level1"/>
      <w:bookmarkStart w:id="145" w:name="_Toc19603_WPSOffice_Level1"/>
      <w:r>
        <w:rPr>
          <w:rFonts w:hint="eastAsia" w:asciiTheme="majorEastAsia" w:hAnsiTheme="majorEastAsia" w:eastAsiaTheme="majorEastAsia" w:cstheme="majorEastAsia"/>
          <w:b/>
          <w:bCs/>
          <w:sz w:val="32"/>
          <w:szCs w:val="32"/>
        </w:rPr>
        <w:t>中小微企业声明函（投标人）</w:t>
      </w:r>
      <w:bookmarkEnd w:id="144"/>
      <w:bookmarkEnd w:id="145"/>
    </w:p>
    <w:p>
      <w:pPr>
        <w:snapToGrid w:val="0"/>
        <w:spacing w:line="360" w:lineRule="auto"/>
        <w:ind w:firstLine="480" w:firstLineChars="200"/>
        <w:rPr>
          <w:rFonts w:hint="eastAsia" w:asciiTheme="majorEastAsia" w:hAnsiTheme="majorEastAsia" w:eastAsiaTheme="majorEastAsia" w:cstheme="majorEastAsia"/>
          <w:sz w:val="24"/>
          <w:szCs w:val="21"/>
        </w:rPr>
      </w:pPr>
    </w:p>
    <w:p>
      <w:pPr>
        <w:snapToGrid w:val="0"/>
        <w:spacing w:line="360" w:lineRule="auto"/>
        <w:ind w:firstLine="480" w:firstLineChars="200"/>
        <w:rPr>
          <w:rFonts w:hint="eastAsia"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本公司郑重声明，根据《政府采购促进中小企业发展暂行办法》（财库[2011]181号）的规定，本公司为______（请填写：中型、小型、微型）企业。即，本公司同时满足以下条件：</w:t>
      </w:r>
    </w:p>
    <w:p>
      <w:pPr>
        <w:snapToGrid w:val="0"/>
        <w:spacing w:line="360" w:lineRule="auto"/>
        <w:ind w:firstLine="480" w:firstLineChars="200"/>
        <w:rPr>
          <w:rFonts w:hint="eastAsia"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1.根据《工业和信息化部、国家统计局、国家发展和改革委员会、财政部关于印发中小企业划型标准规定的通知》（工信部联企业[2011]300号）规定的划分标准：本公司属于第四条第______项______行业，为______（请填写：中型、小型、微型）企业。</w:t>
      </w:r>
    </w:p>
    <w:p>
      <w:pPr>
        <w:snapToGrid w:val="0"/>
        <w:spacing w:line="360" w:lineRule="auto"/>
        <w:ind w:firstLine="480" w:firstLineChars="200"/>
        <w:rPr>
          <w:rFonts w:hint="eastAsia"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2.本公司参加本项目采购活动提供本企业制造的货物，由本企业承担工程、提供服务或者提供其他______（请填写：中型、小型、微型）企业制造的货物。本条所称货物不包括使用大型企业注册商标的货物。</w:t>
      </w:r>
    </w:p>
    <w:p>
      <w:pPr>
        <w:snapToGrid w:val="0"/>
        <w:spacing w:line="360" w:lineRule="auto"/>
        <w:ind w:firstLine="480" w:firstLineChars="200"/>
        <w:rPr>
          <w:rFonts w:hint="eastAsia" w:asciiTheme="majorEastAsia" w:hAnsiTheme="majorEastAsia" w:eastAsiaTheme="majorEastAsia" w:cstheme="majorEastAsia"/>
          <w:spacing w:val="6"/>
          <w:sz w:val="24"/>
        </w:rPr>
      </w:pPr>
      <w:r>
        <w:rPr>
          <w:rFonts w:hint="eastAsia" w:asciiTheme="majorEastAsia" w:hAnsiTheme="majorEastAsia" w:eastAsiaTheme="majorEastAsia" w:cstheme="majorEastAsia"/>
          <w:sz w:val="24"/>
          <w:szCs w:val="21"/>
        </w:rPr>
        <w:t>本公司对上述声明的真实性负责。如有虚假，将依法承担相应责任。</w:t>
      </w:r>
    </w:p>
    <w:p>
      <w:pPr>
        <w:snapToGrid w:val="0"/>
        <w:spacing w:line="360" w:lineRule="auto"/>
        <w:ind w:firstLine="5040" w:firstLineChars="2100"/>
        <w:rPr>
          <w:rFonts w:hint="eastAsia" w:asciiTheme="majorEastAsia" w:hAnsiTheme="majorEastAsia" w:eastAsiaTheme="majorEastAsia" w:cstheme="majorEastAsia"/>
          <w:sz w:val="24"/>
          <w:szCs w:val="21"/>
        </w:rPr>
      </w:pPr>
    </w:p>
    <w:p>
      <w:pPr>
        <w:snapToGrid w:val="0"/>
        <w:spacing w:line="360" w:lineRule="auto"/>
        <w:jc w:val="left"/>
        <w:rPr>
          <w:rFonts w:hint="eastAsia"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投标人名称（公章）：</w:t>
      </w:r>
    </w:p>
    <w:p>
      <w:pPr>
        <w:snapToGrid w:val="0"/>
        <w:spacing w:line="360" w:lineRule="auto"/>
        <w:jc w:val="left"/>
        <w:rPr>
          <w:rFonts w:hint="eastAsia" w:asciiTheme="majorEastAsia" w:hAnsiTheme="majorEastAsia" w:eastAsiaTheme="majorEastAsia" w:cstheme="majorEastAsia"/>
          <w:sz w:val="24"/>
          <w:szCs w:val="21"/>
        </w:rPr>
      </w:pPr>
    </w:p>
    <w:p>
      <w:pPr>
        <w:snapToGrid w:val="0"/>
        <w:spacing w:line="360" w:lineRule="auto"/>
        <w:jc w:val="left"/>
        <w:rPr>
          <w:rFonts w:hint="eastAsia"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 xml:space="preserve">  年   月   日</w:t>
      </w:r>
    </w:p>
    <w:p>
      <w:pPr>
        <w:snapToGrid w:val="0"/>
        <w:spacing w:line="360" w:lineRule="auto"/>
        <w:ind w:firstLine="5040" w:firstLineChars="2100"/>
        <w:rPr>
          <w:rFonts w:hint="eastAsia" w:asciiTheme="majorEastAsia" w:hAnsiTheme="majorEastAsia" w:eastAsiaTheme="majorEastAsia" w:cstheme="majorEastAsia"/>
          <w:sz w:val="24"/>
          <w:szCs w:val="21"/>
        </w:rPr>
      </w:pPr>
    </w:p>
    <w:p>
      <w:pPr>
        <w:snapToGrid w:val="0"/>
        <w:spacing w:line="360" w:lineRule="auto"/>
        <w:ind w:firstLine="480" w:firstLineChars="200"/>
        <w:rPr>
          <w:rFonts w:hint="eastAsia"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注：提供其他中小微企业制造的货物，必须同时提供该中小微企业的声明函。</w:t>
      </w:r>
    </w:p>
    <w:p>
      <w:pPr>
        <w:widowControl/>
        <w:jc w:val="center"/>
        <w:outlineLvl w:val="1"/>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24"/>
        </w:rPr>
        <w:br w:type="page"/>
      </w:r>
      <w:bookmarkStart w:id="146" w:name="_Toc32636_WPSOffice_Level1"/>
      <w:bookmarkStart w:id="147" w:name="_Toc9191_WPSOffice_Level1"/>
      <w:r>
        <w:rPr>
          <w:rFonts w:hint="eastAsia" w:asciiTheme="majorEastAsia" w:hAnsiTheme="majorEastAsia" w:eastAsiaTheme="majorEastAsia" w:cstheme="majorEastAsia"/>
          <w:b/>
          <w:bCs/>
          <w:sz w:val="32"/>
          <w:szCs w:val="32"/>
        </w:rPr>
        <w:t>中小微企业声明函（制造商）</w:t>
      </w:r>
      <w:bookmarkEnd w:id="146"/>
      <w:bookmarkEnd w:id="147"/>
    </w:p>
    <w:p>
      <w:pPr>
        <w:autoSpaceDN w:val="0"/>
        <w:spacing w:line="360" w:lineRule="auto"/>
        <w:jc w:val="center"/>
        <w:rPr>
          <w:rFonts w:hint="eastAsia" w:asciiTheme="majorEastAsia" w:hAnsiTheme="majorEastAsia" w:eastAsiaTheme="majorEastAsia" w:cstheme="majorEastAsia"/>
          <w:b/>
          <w:bCs/>
          <w:sz w:val="24"/>
        </w:rPr>
      </w:pPr>
    </w:p>
    <w:p>
      <w:pPr>
        <w:snapToGrid w:val="0"/>
        <w:spacing w:line="360" w:lineRule="auto"/>
        <w:ind w:firstLine="480" w:firstLineChars="200"/>
        <w:rPr>
          <w:rFonts w:hint="eastAsia"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本公司属于第四条第______项______行业，为______（请填写：中型、小型、微型）企业。</w:t>
      </w:r>
    </w:p>
    <w:p>
      <w:pPr>
        <w:snapToGrid w:val="0"/>
        <w:spacing w:line="360" w:lineRule="auto"/>
        <w:ind w:firstLine="480" w:firstLineChars="200"/>
        <w:rPr>
          <w:rFonts w:hint="eastAsia"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本公司对上述声明的真实性负责。如有虚假，将依法承担相应责任。</w:t>
      </w:r>
    </w:p>
    <w:p>
      <w:pPr>
        <w:snapToGrid w:val="0"/>
        <w:spacing w:line="360" w:lineRule="auto"/>
        <w:ind w:firstLine="5040" w:firstLineChars="2100"/>
        <w:rPr>
          <w:rFonts w:hint="eastAsia" w:asciiTheme="majorEastAsia" w:hAnsiTheme="majorEastAsia" w:eastAsiaTheme="majorEastAsia" w:cstheme="majorEastAsia"/>
          <w:sz w:val="24"/>
          <w:szCs w:val="21"/>
        </w:rPr>
      </w:pPr>
    </w:p>
    <w:p>
      <w:pPr>
        <w:snapToGrid w:val="0"/>
        <w:spacing w:line="360" w:lineRule="auto"/>
        <w:rPr>
          <w:rFonts w:hint="eastAsia"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制造商（单位公章）：</w:t>
      </w:r>
    </w:p>
    <w:p>
      <w:pPr>
        <w:snapToGrid w:val="0"/>
        <w:spacing w:line="360" w:lineRule="auto"/>
        <w:rPr>
          <w:rFonts w:hint="eastAsia" w:asciiTheme="majorEastAsia" w:hAnsiTheme="majorEastAsia" w:eastAsiaTheme="majorEastAsia" w:cstheme="majorEastAsia"/>
          <w:sz w:val="24"/>
          <w:szCs w:val="21"/>
        </w:rPr>
      </w:pPr>
    </w:p>
    <w:p>
      <w:pPr>
        <w:snapToGrid w:val="0"/>
        <w:spacing w:line="360" w:lineRule="auto"/>
        <w:rPr>
          <w:rFonts w:hint="eastAsia"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 xml:space="preserve">   年   月   日</w:t>
      </w:r>
    </w:p>
    <w:p>
      <w:pPr>
        <w:widowControl/>
        <w:ind w:firstLine="120" w:firstLineChars="50"/>
        <w:jc w:val="center"/>
        <w:outlineLvl w:val="1"/>
        <w:rPr>
          <w:rFonts w:hint="eastAsia" w:asciiTheme="majorEastAsia" w:hAnsiTheme="majorEastAsia" w:eastAsiaTheme="majorEastAsia" w:cstheme="majorEastAsia"/>
          <w:b/>
          <w:color w:val="000000"/>
          <w:sz w:val="32"/>
          <w:szCs w:val="32"/>
        </w:rPr>
      </w:pPr>
      <w:r>
        <w:rPr>
          <w:rFonts w:hint="eastAsia" w:asciiTheme="majorEastAsia" w:hAnsiTheme="majorEastAsia" w:eastAsiaTheme="majorEastAsia" w:cstheme="majorEastAsia"/>
          <w:sz w:val="24"/>
        </w:rPr>
        <w:br w:type="page"/>
      </w:r>
      <w:bookmarkStart w:id="148" w:name="_Toc18549_WPSOffice_Level1"/>
      <w:bookmarkStart w:id="149" w:name="_Toc13095_WPSOffice_Level1"/>
      <w:r>
        <w:rPr>
          <w:rFonts w:hint="eastAsia" w:asciiTheme="majorEastAsia" w:hAnsiTheme="majorEastAsia" w:eastAsiaTheme="majorEastAsia" w:cstheme="majorEastAsia"/>
          <w:b/>
          <w:color w:val="000000"/>
          <w:sz w:val="32"/>
          <w:szCs w:val="32"/>
        </w:rPr>
        <w:t>投标人认为提交的其他资料</w:t>
      </w:r>
      <w:bookmarkEnd w:id="148"/>
      <w:bookmarkEnd w:id="149"/>
    </w:p>
    <w:p>
      <w:pPr>
        <w:widowControl/>
        <w:jc w:val="center"/>
        <w:rPr>
          <w:rFonts w:hint="eastAsia" w:asciiTheme="majorEastAsia" w:hAnsiTheme="majorEastAsia" w:eastAsiaTheme="majorEastAsia" w:cstheme="majorEastAsia"/>
          <w:b/>
          <w:sz w:val="52"/>
          <w:szCs w:val="52"/>
        </w:rPr>
      </w:pPr>
      <w:r>
        <w:rPr>
          <w:rFonts w:hint="eastAsia" w:asciiTheme="majorEastAsia" w:hAnsiTheme="majorEastAsia" w:eastAsiaTheme="majorEastAsia" w:cstheme="majorEastAsia"/>
          <w:b/>
          <w:color w:val="000000"/>
          <w:sz w:val="24"/>
          <w:lang w:eastAsia="zh-CN"/>
        </w:rPr>
        <w:t>开户许可证，用于退保证金。</w:t>
      </w:r>
      <w:r>
        <w:rPr>
          <w:rFonts w:hint="eastAsia" w:asciiTheme="majorEastAsia" w:hAnsiTheme="majorEastAsia" w:eastAsiaTheme="majorEastAsia" w:cstheme="majorEastAsia"/>
          <w:b/>
          <w:color w:val="000000"/>
          <w:sz w:val="24"/>
        </w:rPr>
        <w:br w:type="page"/>
      </w:r>
      <w:r>
        <w:rPr>
          <w:rFonts w:hint="eastAsia" w:asciiTheme="majorEastAsia" w:hAnsiTheme="majorEastAsia" w:eastAsiaTheme="majorEastAsia" w:cstheme="majorEastAsia"/>
          <w:sz w:val="100"/>
          <w:szCs w:val="100"/>
        </w:rPr>
        <w:t>响 应 文 件</w:t>
      </w:r>
    </w:p>
    <w:p>
      <w:pPr>
        <w:autoSpaceDE w:val="0"/>
        <w:autoSpaceDN w:val="0"/>
        <w:adjustRightInd w:val="0"/>
        <w:spacing w:line="520" w:lineRule="exact"/>
        <w:ind w:firstLine="361" w:firstLineChars="100"/>
        <w:jc w:val="center"/>
        <w:rPr>
          <w:rFonts w:hint="eastAsia" w:asciiTheme="majorEastAsia" w:hAnsiTheme="majorEastAsia" w:eastAsiaTheme="majorEastAsia" w:cstheme="majorEastAsia"/>
          <w:b/>
          <w:kern w:val="0"/>
          <w:sz w:val="36"/>
          <w:szCs w:val="36"/>
        </w:rPr>
      </w:pPr>
      <w:r>
        <w:rPr>
          <w:rFonts w:hint="eastAsia" w:asciiTheme="majorEastAsia" w:hAnsiTheme="majorEastAsia" w:eastAsiaTheme="majorEastAsia" w:cstheme="majorEastAsia"/>
          <w:b/>
          <w:kern w:val="0"/>
          <w:sz w:val="36"/>
          <w:szCs w:val="36"/>
        </w:rPr>
        <w:t>第</w:t>
      </w:r>
      <w:r>
        <w:rPr>
          <w:rFonts w:hint="eastAsia" w:asciiTheme="majorEastAsia" w:hAnsiTheme="majorEastAsia" w:eastAsiaTheme="majorEastAsia" w:cstheme="majorEastAsia"/>
          <w:b/>
          <w:kern w:val="0"/>
          <w:sz w:val="36"/>
          <w:szCs w:val="36"/>
          <w:lang w:eastAsia="zh-CN"/>
        </w:rPr>
        <w:t>二</w:t>
      </w:r>
      <w:r>
        <w:rPr>
          <w:rFonts w:hint="eastAsia" w:asciiTheme="majorEastAsia" w:hAnsiTheme="majorEastAsia" w:eastAsiaTheme="majorEastAsia" w:cstheme="majorEastAsia"/>
          <w:b/>
          <w:kern w:val="0"/>
          <w:sz w:val="36"/>
          <w:szCs w:val="36"/>
        </w:rPr>
        <w:t>阶段</w:t>
      </w:r>
    </w:p>
    <w:p>
      <w:pPr>
        <w:autoSpaceDE w:val="0"/>
        <w:autoSpaceDN w:val="0"/>
        <w:adjustRightInd w:val="0"/>
        <w:spacing w:line="520" w:lineRule="exact"/>
        <w:jc w:val="center"/>
        <w:rPr>
          <w:rFonts w:hint="eastAsia" w:asciiTheme="majorEastAsia" w:hAnsiTheme="majorEastAsia" w:eastAsiaTheme="majorEastAsia" w:cstheme="majorEastAsia"/>
          <w:b/>
          <w:kern w:val="0"/>
          <w:sz w:val="36"/>
          <w:szCs w:val="36"/>
        </w:rPr>
      </w:pPr>
    </w:p>
    <w:p>
      <w:pPr>
        <w:widowControl/>
        <w:spacing w:line="500" w:lineRule="exact"/>
        <w:ind w:firstLine="321" w:firstLineChars="100"/>
        <w:jc w:val="center"/>
        <w:outlineLvl w:val="1"/>
        <w:rPr>
          <w:rFonts w:hint="eastAsia" w:asciiTheme="majorEastAsia" w:hAnsiTheme="majorEastAsia" w:eastAsiaTheme="majorEastAsia" w:cstheme="majorEastAsia"/>
          <w:b/>
          <w:sz w:val="32"/>
        </w:rPr>
      </w:pPr>
      <w:r>
        <w:rPr>
          <w:rFonts w:hint="eastAsia" w:asciiTheme="majorEastAsia" w:hAnsiTheme="majorEastAsia" w:eastAsiaTheme="majorEastAsia" w:cstheme="majorEastAsia"/>
          <w:b/>
          <w:sz w:val="32"/>
        </w:rPr>
        <w:t>正本或副本</w:t>
      </w:r>
    </w:p>
    <w:p>
      <w:pPr>
        <w:widowControl/>
        <w:spacing w:line="500" w:lineRule="exact"/>
        <w:jc w:val="center"/>
        <w:rPr>
          <w:rFonts w:hint="eastAsia" w:asciiTheme="majorEastAsia" w:hAnsiTheme="majorEastAsia" w:eastAsiaTheme="majorEastAsia" w:cstheme="majorEastAsia"/>
          <w:sz w:val="30"/>
          <w:szCs w:val="30"/>
        </w:rPr>
      </w:pPr>
    </w:p>
    <w:p>
      <w:pPr>
        <w:widowControl/>
        <w:spacing w:line="500" w:lineRule="exact"/>
        <w:rPr>
          <w:rFonts w:hint="eastAsia" w:asciiTheme="majorEastAsia" w:hAnsiTheme="majorEastAsia" w:eastAsiaTheme="majorEastAsia" w:cstheme="majorEastAsia"/>
          <w:sz w:val="30"/>
          <w:szCs w:val="30"/>
        </w:rPr>
      </w:pPr>
    </w:p>
    <w:p>
      <w:pPr>
        <w:spacing w:before="93" w:beforeLines="30" w:after="218" w:afterLines="70" w:line="540" w:lineRule="exact"/>
        <w:ind w:firstLine="683" w:firstLineChars="200"/>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项目编号：</w:t>
      </w:r>
    </w:p>
    <w:p>
      <w:pPr>
        <w:spacing w:before="93" w:beforeLines="30" w:after="218" w:afterLines="70" w:line="540" w:lineRule="exact"/>
        <w:ind w:left="2182" w:leftChars="300" w:hanging="1522" w:hangingChars="446"/>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项目名称：</w:t>
      </w:r>
    </w:p>
    <w:p>
      <w:pPr>
        <w:spacing w:before="93" w:beforeLines="30" w:after="218" w:afterLines="70" w:line="540" w:lineRule="exact"/>
        <w:ind w:left="2182" w:leftChars="300" w:hanging="1522" w:hangingChars="446"/>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所投包号：</w:t>
      </w:r>
    </w:p>
    <w:p>
      <w:pPr>
        <w:spacing w:before="93" w:beforeLines="30" w:after="218" w:afterLines="70" w:line="540" w:lineRule="exact"/>
        <w:ind w:firstLine="683" w:firstLineChars="200"/>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投标单位名称：（公章）</w:t>
      </w:r>
    </w:p>
    <w:p>
      <w:pPr>
        <w:spacing w:before="93" w:beforeLines="30" w:after="218" w:afterLines="70" w:line="540" w:lineRule="exact"/>
        <w:ind w:left="2182" w:leftChars="300" w:hanging="1522" w:hangingChars="446"/>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法定代表人：（签字或盖章）</w:t>
      </w:r>
    </w:p>
    <w:p>
      <w:pPr>
        <w:spacing w:before="93" w:beforeLines="30" w:after="218" w:afterLines="70" w:line="540" w:lineRule="exact"/>
        <w:ind w:left="2182" w:leftChars="300" w:hanging="1522" w:hangingChars="446"/>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或投标人代表：（签字或盖章）</w:t>
      </w:r>
    </w:p>
    <w:p>
      <w:pPr>
        <w:spacing w:line="480" w:lineRule="exact"/>
        <w:ind w:left="0" w:leftChars="0" w:firstLine="683" w:firstLineChars="200"/>
        <w:jc w:val="both"/>
        <w:outlineLvl w:val="2"/>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sz w:val="34"/>
          <w:szCs w:val="34"/>
        </w:rPr>
        <w:t>磋商日期：   年   月  日</w:t>
      </w:r>
    </w:p>
    <w:p>
      <w:pPr>
        <w:tabs>
          <w:tab w:val="left" w:pos="360"/>
        </w:tabs>
        <w:spacing w:line="560" w:lineRule="exact"/>
        <w:jc w:val="center"/>
        <w:rPr>
          <w:rFonts w:hint="eastAsia" w:asciiTheme="majorEastAsia" w:hAnsiTheme="majorEastAsia" w:eastAsiaTheme="majorEastAsia" w:cstheme="majorEastAsia"/>
          <w:b/>
          <w:sz w:val="24"/>
        </w:rPr>
      </w:pPr>
    </w:p>
    <w:p>
      <w:pPr>
        <w:tabs>
          <w:tab w:val="left" w:pos="360"/>
        </w:tabs>
        <w:spacing w:line="560" w:lineRule="exact"/>
        <w:ind w:left="0" w:leftChars="0" w:firstLine="0" w:firstLineChars="0"/>
        <w:jc w:val="center"/>
        <w:outlineLvl w:val="1"/>
        <w:rPr>
          <w:rFonts w:hint="eastAsia" w:asciiTheme="majorEastAsia" w:hAnsiTheme="majorEastAsia" w:eastAsiaTheme="majorEastAsia" w:cstheme="majorEastAsia"/>
          <w:b/>
          <w:sz w:val="32"/>
          <w:szCs w:val="32"/>
        </w:rPr>
      </w:pPr>
      <w:bookmarkStart w:id="150" w:name="_Toc8961_WPSOffice_Level1"/>
      <w:bookmarkStart w:id="151" w:name="_Toc21658_WPSOffice_Level1"/>
      <w:r>
        <w:rPr>
          <w:rFonts w:hint="eastAsia" w:asciiTheme="majorEastAsia" w:hAnsiTheme="majorEastAsia" w:eastAsiaTheme="majorEastAsia" w:cstheme="majorEastAsia"/>
          <w:b/>
          <w:sz w:val="32"/>
          <w:szCs w:val="32"/>
        </w:rPr>
        <w:t>说 明</w:t>
      </w:r>
      <w:bookmarkEnd w:id="150"/>
      <w:bookmarkEnd w:id="151"/>
    </w:p>
    <w:p>
      <w:pPr>
        <w:pStyle w:val="33"/>
        <w:numPr>
          <w:ilvl w:val="0"/>
          <w:numId w:val="5"/>
        </w:numPr>
        <w:tabs>
          <w:tab w:val="left" w:pos="360"/>
        </w:tabs>
        <w:spacing w:line="560" w:lineRule="exact"/>
        <w:ind w:firstLineChars="0"/>
        <w:jc w:val="left"/>
        <w:outlineLvl w:val="1"/>
        <w:rPr>
          <w:rFonts w:hint="eastAsia" w:asciiTheme="majorEastAsia" w:hAnsiTheme="majorEastAsia" w:eastAsiaTheme="majorEastAsia" w:cstheme="majorEastAsia"/>
          <w:b/>
          <w:sz w:val="24"/>
        </w:rPr>
      </w:pPr>
      <w:bookmarkStart w:id="152" w:name="_Toc5738_WPSOffice_Level1"/>
      <w:bookmarkStart w:id="153" w:name="_Toc31954_WPSOffice_Level1"/>
      <w:r>
        <w:rPr>
          <w:rFonts w:hint="eastAsia" w:asciiTheme="majorEastAsia" w:hAnsiTheme="majorEastAsia" w:eastAsiaTheme="majorEastAsia" w:cstheme="majorEastAsia"/>
          <w:b/>
          <w:sz w:val="24"/>
        </w:rPr>
        <w:t>竞争性磋商项目第二阶段文件为报价文件</w:t>
      </w:r>
      <w:bookmarkEnd w:id="152"/>
      <w:bookmarkEnd w:id="153"/>
      <w:r>
        <w:rPr>
          <w:rFonts w:hint="eastAsia" w:asciiTheme="majorEastAsia" w:hAnsiTheme="majorEastAsia" w:eastAsiaTheme="majorEastAsia" w:cstheme="majorEastAsia"/>
          <w:b/>
          <w:sz w:val="24"/>
          <w:lang w:eastAsia="zh-CN"/>
        </w:rPr>
        <w:t>，要求一正三副。</w:t>
      </w:r>
    </w:p>
    <w:p>
      <w:pPr>
        <w:pStyle w:val="33"/>
        <w:numPr>
          <w:ilvl w:val="0"/>
          <w:numId w:val="5"/>
        </w:numPr>
        <w:tabs>
          <w:tab w:val="left" w:pos="360"/>
        </w:tabs>
        <w:spacing w:line="560" w:lineRule="exact"/>
        <w:ind w:firstLineChars="0"/>
        <w:jc w:val="left"/>
        <w:outlineLvl w:val="1"/>
        <w:rPr>
          <w:rFonts w:hint="eastAsia" w:asciiTheme="majorEastAsia" w:hAnsiTheme="majorEastAsia" w:eastAsiaTheme="majorEastAsia" w:cstheme="majorEastAsia"/>
          <w:b/>
          <w:sz w:val="24"/>
        </w:rPr>
      </w:pPr>
      <w:bookmarkStart w:id="154" w:name="_Toc11440_WPSOffice_Level1"/>
      <w:bookmarkStart w:id="155" w:name="_Toc3052_WPSOffice_Level1"/>
      <w:r>
        <w:rPr>
          <w:rFonts w:hint="eastAsia" w:asciiTheme="majorEastAsia" w:hAnsiTheme="majorEastAsia" w:eastAsiaTheme="majorEastAsia" w:cstheme="majorEastAsia"/>
          <w:b/>
          <w:sz w:val="24"/>
        </w:rPr>
        <w:t>报价文件需在第一阶段文件完全满足的前提下方可开启。</w:t>
      </w:r>
      <w:bookmarkEnd w:id="154"/>
      <w:bookmarkEnd w:id="155"/>
    </w:p>
    <w:p>
      <w:pPr>
        <w:pStyle w:val="33"/>
        <w:numPr>
          <w:ilvl w:val="0"/>
          <w:numId w:val="5"/>
        </w:numPr>
        <w:tabs>
          <w:tab w:val="left" w:pos="360"/>
        </w:tabs>
        <w:spacing w:line="560" w:lineRule="exact"/>
        <w:ind w:firstLineChars="0"/>
        <w:jc w:val="left"/>
        <w:outlineLvl w:val="1"/>
        <w:rPr>
          <w:rFonts w:hint="eastAsia" w:asciiTheme="majorEastAsia" w:hAnsiTheme="majorEastAsia" w:eastAsiaTheme="majorEastAsia" w:cstheme="majorEastAsia"/>
          <w:b/>
          <w:sz w:val="24"/>
        </w:rPr>
      </w:pPr>
      <w:bookmarkStart w:id="156" w:name="_Toc30930_WPSOffice_Level1"/>
      <w:bookmarkStart w:id="157" w:name="_Toc29059_WPSOffice_Level1"/>
      <w:r>
        <w:rPr>
          <w:rFonts w:hint="eastAsia" w:asciiTheme="majorEastAsia" w:hAnsiTheme="majorEastAsia" w:eastAsiaTheme="majorEastAsia" w:cstheme="majorEastAsia"/>
          <w:b/>
          <w:sz w:val="24"/>
        </w:rPr>
        <w:t>报价文件需单独装订成册、密封。</w:t>
      </w:r>
      <w:bookmarkEnd w:id="156"/>
      <w:bookmarkEnd w:id="157"/>
    </w:p>
    <w:p>
      <w:pPr>
        <w:widowControl/>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24"/>
        </w:rPr>
        <w:br w:type="page"/>
      </w:r>
      <w:bookmarkStart w:id="158" w:name="_Toc18838_WPSOffice_Level1"/>
      <w:bookmarkStart w:id="159" w:name="_Toc1577_WPSOffice_Level1"/>
      <w:r>
        <w:rPr>
          <w:rFonts w:hint="eastAsia" w:asciiTheme="majorEastAsia" w:hAnsiTheme="majorEastAsia" w:eastAsiaTheme="majorEastAsia" w:cstheme="majorEastAsia"/>
          <w:b/>
          <w:sz w:val="32"/>
          <w:szCs w:val="32"/>
        </w:rPr>
        <w:t>报价书</w:t>
      </w:r>
      <w:bookmarkEnd w:id="158"/>
      <w:bookmarkEnd w:id="159"/>
    </w:p>
    <w:p>
      <w:pPr>
        <w:spacing w:line="460" w:lineRule="exact"/>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致：</w:t>
      </w:r>
      <w:r>
        <w:rPr>
          <w:rFonts w:hint="eastAsia" w:asciiTheme="majorEastAsia" w:hAnsiTheme="majorEastAsia" w:eastAsiaTheme="majorEastAsia" w:cstheme="majorEastAsia"/>
          <w:sz w:val="24"/>
          <w:lang w:eastAsia="zh-CN"/>
        </w:rPr>
        <w:t>天津同力源工程咨询有限公司</w:t>
      </w:r>
    </w:p>
    <w:p>
      <w:pPr>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根据贵方</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项目（项目编号：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）的竞争性磋商邀请，签字代表</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（姓名</w:t>
      </w:r>
      <w:r>
        <w:rPr>
          <w:rFonts w:hint="eastAsia" w:asciiTheme="majorEastAsia" w:hAnsiTheme="majorEastAsia" w:eastAsiaTheme="majorEastAsia" w:cstheme="majorEastAsia"/>
          <w:sz w:val="24"/>
          <w:lang w:val="en-GB"/>
        </w:rPr>
        <w:t>/</w:t>
      </w:r>
      <w:r>
        <w:rPr>
          <w:rFonts w:hint="eastAsia" w:asciiTheme="majorEastAsia" w:hAnsiTheme="majorEastAsia" w:eastAsiaTheme="majorEastAsia" w:cstheme="majorEastAsia"/>
          <w:sz w:val="24"/>
        </w:rPr>
        <w:t>职务）经正式授权并代表投标人</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（投标人名称、地址）提交下述文件正本</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份、副本</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份。报价文件电子版（word格式）光盘</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份</w:t>
      </w:r>
    </w:p>
    <w:p>
      <w:pPr>
        <w:tabs>
          <w:tab w:val="left" w:pos="540"/>
          <w:tab w:val="left" w:pos="720"/>
        </w:tabs>
        <w:spacing w:line="460" w:lineRule="exact"/>
        <w:ind w:firstLine="480" w:firstLineChars="200"/>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据此函，签字代表宣布同意如下：</w:t>
      </w:r>
    </w:p>
    <w:p>
      <w:pPr>
        <w:spacing w:line="460" w:lineRule="exact"/>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 所附报价表中规定的应提供内容价格为</w:t>
      </w:r>
    </w:p>
    <w:p>
      <w:pPr>
        <w:spacing w:line="460" w:lineRule="exact"/>
        <w:ind w:left="48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报价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元（注明币种）</w:t>
      </w:r>
    </w:p>
    <w:p>
      <w:pPr>
        <w:spacing w:line="460" w:lineRule="exact"/>
        <w:ind w:left="472" w:firstLine="237"/>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大写：</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（文字表述）。</w:t>
      </w:r>
    </w:p>
    <w:p>
      <w:pPr>
        <w:spacing w:line="460" w:lineRule="exact"/>
        <w:ind w:firstLine="47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 投标人已经对全部价格进行了认真核对，保证本报价真实、准确无误，并承担本价格所对应本项目的一切责任和义务。</w:t>
      </w:r>
    </w:p>
    <w:p>
      <w:pPr>
        <w:spacing w:line="460" w:lineRule="exact"/>
        <w:ind w:firstLine="47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 两个阶段响应文件一一对应、不可分割，共同构成我方对本项目的所有承诺。</w:t>
      </w:r>
    </w:p>
    <w:p>
      <w:pPr>
        <w:spacing w:line="460" w:lineRule="exact"/>
        <w:ind w:firstLine="471"/>
        <w:rPr>
          <w:rFonts w:hint="eastAsia" w:asciiTheme="majorEastAsia" w:hAnsiTheme="majorEastAsia" w:eastAsiaTheme="majorEastAsia" w:cstheme="majorEastAsia"/>
          <w:sz w:val="24"/>
        </w:rPr>
      </w:pPr>
    </w:p>
    <w:p>
      <w:pPr>
        <w:spacing w:line="460" w:lineRule="exact"/>
        <w:ind w:firstLine="471"/>
        <w:jc w:val="left"/>
        <w:rPr>
          <w:rFonts w:hint="eastAsia" w:asciiTheme="majorEastAsia" w:hAnsiTheme="majorEastAsia" w:eastAsiaTheme="majorEastAsia" w:cstheme="majorEastAsia"/>
          <w:sz w:val="24"/>
        </w:rPr>
      </w:pPr>
    </w:p>
    <w:p>
      <w:pPr>
        <w:spacing w:line="460" w:lineRule="exact"/>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jc w:val="left"/>
        <w:rPr>
          <w:rFonts w:hint="eastAsia" w:asciiTheme="majorEastAsia" w:hAnsiTheme="majorEastAsia" w:eastAsiaTheme="majorEastAsia" w:cstheme="majorEastAsia"/>
          <w:sz w:val="24"/>
        </w:rPr>
      </w:pPr>
    </w:p>
    <w:p>
      <w:pPr>
        <w:spacing w:line="460" w:lineRule="exact"/>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jc w:val="left"/>
        <w:rPr>
          <w:rFonts w:hint="eastAsia" w:asciiTheme="majorEastAsia" w:hAnsiTheme="majorEastAsia" w:eastAsiaTheme="majorEastAsia" w:cstheme="majorEastAsia"/>
          <w:sz w:val="24"/>
        </w:rPr>
      </w:pPr>
    </w:p>
    <w:p>
      <w:pPr>
        <w:spacing w:line="460" w:lineRule="exact"/>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spacing w:line="460" w:lineRule="exact"/>
        <w:ind w:firstLine="471"/>
        <w:rPr>
          <w:rFonts w:hint="eastAsia" w:asciiTheme="majorEastAsia" w:hAnsiTheme="majorEastAsia" w:eastAsiaTheme="majorEastAsia" w:cstheme="majorEastAsia"/>
          <w:sz w:val="24"/>
        </w:rPr>
      </w:pPr>
    </w:p>
    <w:p>
      <w:pPr>
        <w:spacing w:line="560" w:lineRule="exact"/>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24"/>
        </w:rPr>
        <w:br w:type="page"/>
      </w:r>
      <w:bookmarkStart w:id="160" w:name="_Toc21827_WPSOffice_Level1"/>
      <w:bookmarkStart w:id="161" w:name="_Toc14884_WPSOffice_Level1"/>
      <w:r>
        <w:rPr>
          <w:rFonts w:hint="eastAsia" w:asciiTheme="majorEastAsia" w:hAnsiTheme="majorEastAsia" w:eastAsiaTheme="majorEastAsia" w:cstheme="majorEastAsia"/>
          <w:b/>
          <w:sz w:val="32"/>
          <w:szCs w:val="32"/>
        </w:rPr>
        <w:t>报价一览表</w:t>
      </w:r>
      <w:bookmarkEnd w:id="160"/>
      <w:bookmarkEnd w:id="161"/>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包号：    </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单位：   元（注明币种）</w:t>
      </w:r>
    </w:p>
    <w:tbl>
      <w:tblPr>
        <w:tblStyle w:val="17"/>
        <w:tblW w:w="9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1276"/>
        <w:gridCol w:w="2561"/>
        <w:gridCol w:w="709"/>
        <w:gridCol w:w="1141"/>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eastAsia="zh-CN"/>
              </w:rPr>
              <w:t>序号</w:t>
            </w:r>
          </w:p>
        </w:tc>
        <w:tc>
          <w:tcPr>
            <w:tcW w:w="1418"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名称</w:t>
            </w:r>
          </w:p>
        </w:tc>
        <w:tc>
          <w:tcPr>
            <w:tcW w:w="1276"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服务期</w:t>
            </w:r>
          </w:p>
        </w:tc>
        <w:tc>
          <w:tcPr>
            <w:tcW w:w="2561"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服务内容</w:t>
            </w:r>
          </w:p>
        </w:tc>
        <w:tc>
          <w:tcPr>
            <w:tcW w:w="709"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w:t>
            </w:r>
          </w:p>
        </w:tc>
        <w:tc>
          <w:tcPr>
            <w:tcW w:w="1141"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服务地点</w:t>
            </w:r>
          </w:p>
        </w:tc>
        <w:tc>
          <w:tcPr>
            <w:tcW w:w="1464"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p>
            <w:pPr>
              <w:spacing w:line="460" w:lineRule="exact"/>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460" w:lineRule="exact"/>
              <w:ind w:left="0" w:leftChars="0" w:firstLine="0" w:firstLineChars="0"/>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1</w:t>
            </w:r>
          </w:p>
        </w:tc>
        <w:tc>
          <w:tcPr>
            <w:tcW w:w="1418" w:type="dxa"/>
            <w:vAlign w:val="center"/>
          </w:tcPr>
          <w:p>
            <w:pPr>
              <w:spacing w:line="460" w:lineRule="exact"/>
              <w:jc w:val="center"/>
              <w:rPr>
                <w:rFonts w:hint="eastAsia" w:asciiTheme="majorEastAsia" w:hAnsiTheme="majorEastAsia" w:eastAsiaTheme="majorEastAsia" w:cstheme="majorEastAsia"/>
                <w:sz w:val="24"/>
              </w:rPr>
            </w:pPr>
          </w:p>
        </w:tc>
        <w:tc>
          <w:tcPr>
            <w:tcW w:w="1276" w:type="dxa"/>
            <w:vAlign w:val="center"/>
          </w:tcPr>
          <w:p>
            <w:pPr>
              <w:spacing w:line="460" w:lineRule="exact"/>
              <w:jc w:val="center"/>
              <w:rPr>
                <w:rFonts w:hint="eastAsia" w:asciiTheme="majorEastAsia" w:hAnsiTheme="majorEastAsia" w:eastAsiaTheme="majorEastAsia" w:cstheme="majorEastAsia"/>
                <w:sz w:val="24"/>
              </w:rPr>
            </w:pPr>
          </w:p>
        </w:tc>
        <w:tc>
          <w:tcPr>
            <w:tcW w:w="2561" w:type="dxa"/>
            <w:vAlign w:val="center"/>
          </w:tcPr>
          <w:p>
            <w:pPr>
              <w:spacing w:line="460" w:lineRule="exact"/>
              <w:jc w:val="center"/>
              <w:rPr>
                <w:rFonts w:hint="eastAsia" w:asciiTheme="majorEastAsia" w:hAnsiTheme="majorEastAsia" w:eastAsiaTheme="majorEastAsia" w:cstheme="majorEastAsia"/>
                <w:sz w:val="24"/>
              </w:rPr>
            </w:pPr>
          </w:p>
        </w:tc>
        <w:tc>
          <w:tcPr>
            <w:tcW w:w="709" w:type="dxa"/>
            <w:vAlign w:val="center"/>
          </w:tcPr>
          <w:p>
            <w:pPr>
              <w:spacing w:line="460" w:lineRule="exact"/>
              <w:jc w:val="center"/>
              <w:rPr>
                <w:rFonts w:hint="eastAsia" w:asciiTheme="majorEastAsia" w:hAnsiTheme="majorEastAsia" w:eastAsiaTheme="majorEastAsia" w:cstheme="majorEastAsia"/>
                <w:sz w:val="24"/>
              </w:rPr>
            </w:pPr>
          </w:p>
        </w:tc>
        <w:tc>
          <w:tcPr>
            <w:tcW w:w="1141" w:type="dxa"/>
            <w:vAlign w:val="center"/>
          </w:tcPr>
          <w:p>
            <w:pPr>
              <w:spacing w:line="460" w:lineRule="exact"/>
              <w:jc w:val="center"/>
              <w:rPr>
                <w:rFonts w:hint="eastAsia" w:asciiTheme="majorEastAsia" w:hAnsiTheme="majorEastAsia" w:eastAsiaTheme="majorEastAsia" w:cstheme="majorEastAsia"/>
                <w:sz w:val="24"/>
              </w:rPr>
            </w:pPr>
          </w:p>
        </w:tc>
        <w:tc>
          <w:tcPr>
            <w:tcW w:w="1464" w:type="dxa"/>
            <w:vAlign w:val="center"/>
          </w:tcPr>
          <w:p>
            <w:pPr>
              <w:spacing w:line="460" w:lineRule="exact"/>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460" w:lineRule="exact"/>
              <w:ind w:left="0" w:leftChars="0" w:firstLine="0" w:firstLineChars="0"/>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2</w:t>
            </w:r>
          </w:p>
        </w:tc>
        <w:tc>
          <w:tcPr>
            <w:tcW w:w="1418" w:type="dxa"/>
            <w:vAlign w:val="center"/>
          </w:tcPr>
          <w:p>
            <w:pPr>
              <w:spacing w:line="460" w:lineRule="exact"/>
              <w:jc w:val="center"/>
              <w:rPr>
                <w:rFonts w:hint="eastAsia" w:asciiTheme="majorEastAsia" w:hAnsiTheme="majorEastAsia" w:eastAsiaTheme="majorEastAsia" w:cstheme="majorEastAsia"/>
                <w:sz w:val="24"/>
              </w:rPr>
            </w:pPr>
          </w:p>
        </w:tc>
        <w:tc>
          <w:tcPr>
            <w:tcW w:w="1276" w:type="dxa"/>
            <w:vAlign w:val="center"/>
          </w:tcPr>
          <w:p>
            <w:pPr>
              <w:spacing w:line="460" w:lineRule="exact"/>
              <w:jc w:val="center"/>
              <w:rPr>
                <w:rFonts w:hint="eastAsia" w:asciiTheme="majorEastAsia" w:hAnsiTheme="majorEastAsia" w:eastAsiaTheme="majorEastAsia" w:cstheme="majorEastAsia"/>
                <w:sz w:val="24"/>
              </w:rPr>
            </w:pPr>
          </w:p>
        </w:tc>
        <w:tc>
          <w:tcPr>
            <w:tcW w:w="2561" w:type="dxa"/>
            <w:vAlign w:val="center"/>
          </w:tcPr>
          <w:p>
            <w:pPr>
              <w:spacing w:line="460" w:lineRule="exact"/>
              <w:jc w:val="center"/>
              <w:rPr>
                <w:rFonts w:hint="eastAsia" w:asciiTheme="majorEastAsia" w:hAnsiTheme="majorEastAsia" w:eastAsiaTheme="majorEastAsia" w:cstheme="majorEastAsia"/>
                <w:sz w:val="24"/>
              </w:rPr>
            </w:pPr>
          </w:p>
        </w:tc>
        <w:tc>
          <w:tcPr>
            <w:tcW w:w="709" w:type="dxa"/>
            <w:vAlign w:val="center"/>
          </w:tcPr>
          <w:p>
            <w:pPr>
              <w:spacing w:line="460" w:lineRule="exact"/>
              <w:jc w:val="center"/>
              <w:rPr>
                <w:rFonts w:hint="eastAsia" w:asciiTheme="majorEastAsia" w:hAnsiTheme="majorEastAsia" w:eastAsiaTheme="majorEastAsia" w:cstheme="majorEastAsia"/>
                <w:sz w:val="24"/>
              </w:rPr>
            </w:pPr>
          </w:p>
        </w:tc>
        <w:tc>
          <w:tcPr>
            <w:tcW w:w="1141" w:type="dxa"/>
            <w:vAlign w:val="center"/>
          </w:tcPr>
          <w:p>
            <w:pPr>
              <w:spacing w:line="460" w:lineRule="exact"/>
              <w:jc w:val="center"/>
              <w:rPr>
                <w:rFonts w:hint="eastAsia" w:asciiTheme="majorEastAsia" w:hAnsiTheme="majorEastAsia" w:eastAsiaTheme="majorEastAsia" w:cstheme="majorEastAsia"/>
                <w:sz w:val="24"/>
              </w:rPr>
            </w:pPr>
          </w:p>
        </w:tc>
        <w:tc>
          <w:tcPr>
            <w:tcW w:w="1464" w:type="dxa"/>
            <w:vAlign w:val="center"/>
          </w:tcPr>
          <w:p>
            <w:pPr>
              <w:spacing w:line="460" w:lineRule="exact"/>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tabs>
                <w:tab w:val="center" w:pos="230"/>
              </w:tabs>
              <w:spacing w:line="460" w:lineRule="exact"/>
              <w:ind w:left="0" w:leftChars="0" w:firstLine="0" w:firstLineChars="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w:t>
            </w:r>
          </w:p>
        </w:tc>
        <w:tc>
          <w:tcPr>
            <w:tcW w:w="1418" w:type="dxa"/>
            <w:vAlign w:val="center"/>
          </w:tcPr>
          <w:p>
            <w:pPr>
              <w:spacing w:line="460" w:lineRule="exact"/>
              <w:jc w:val="center"/>
              <w:rPr>
                <w:rFonts w:hint="eastAsia" w:asciiTheme="majorEastAsia" w:hAnsiTheme="majorEastAsia" w:eastAsiaTheme="majorEastAsia" w:cstheme="majorEastAsia"/>
                <w:sz w:val="24"/>
              </w:rPr>
            </w:pPr>
          </w:p>
        </w:tc>
        <w:tc>
          <w:tcPr>
            <w:tcW w:w="1276" w:type="dxa"/>
            <w:vAlign w:val="center"/>
          </w:tcPr>
          <w:p>
            <w:pPr>
              <w:spacing w:line="460" w:lineRule="exact"/>
              <w:jc w:val="center"/>
              <w:rPr>
                <w:rFonts w:hint="eastAsia" w:asciiTheme="majorEastAsia" w:hAnsiTheme="majorEastAsia" w:eastAsiaTheme="majorEastAsia" w:cstheme="majorEastAsia"/>
                <w:sz w:val="24"/>
              </w:rPr>
            </w:pPr>
          </w:p>
        </w:tc>
        <w:tc>
          <w:tcPr>
            <w:tcW w:w="2561" w:type="dxa"/>
            <w:vAlign w:val="center"/>
          </w:tcPr>
          <w:p>
            <w:pPr>
              <w:spacing w:line="460" w:lineRule="exact"/>
              <w:jc w:val="center"/>
              <w:rPr>
                <w:rFonts w:hint="eastAsia" w:asciiTheme="majorEastAsia" w:hAnsiTheme="majorEastAsia" w:eastAsiaTheme="majorEastAsia" w:cstheme="majorEastAsia"/>
                <w:sz w:val="24"/>
              </w:rPr>
            </w:pPr>
          </w:p>
        </w:tc>
        <w:tc>
          <w:tcPr>
            <w:tcW w:w="709" w:type="dxa"/>
            <w:vAlign w:val="center"/>
          </w:tcPr>
          <w:p>
            <w:pPr>
              <w:spacing w:line="460" w:lineRule="exact"/>
              <w:jc w:val="center"/>
              <w:rPr>
                <w:rFonts w:hint="eastAsia" w:asciiTheme="majorEastAsia" w:hAnsiTheme="majorEastAsia" w:eastAsiaTheme="majorEastAsia" w:cstheme="majorEastAsia"/>
                <w:sz w:val="24"/>
              </w:rPr>
            </w:pPr>
          </w:p>
        </w:tc>
        <w:tc>
          <w:tcPr>
            <w:tcW w:w="1141" w:type="dxa"/>
            <w:vAlign w:val="center"/>
          </w:tcPr>
          <w:p>
            <w:pPr>
              <w:spacing w:line="460" w:lineRule="exact"/>
              <w:jc w:val="center"/>
              <w:rPr>
                <w:rFonts w:hint="eastAsia" w:asciiTheme="majorEastAsia" w:hAnsiTheme="majorEastAsia" w:eastAsiaTheme="majorEastAsia" w:cstheme="majorEastAsia"/>
                <w:sz w:val="24"/>
              </w:rPr>
            </w:pPr>
          </w:p>
        </w:tc>
        <w:tc>
          <w:tcPr>
            <w:tcW w:w="1464" w:type="dxa"/>
            <w:vAlign w:val="center"/>
          </w:tcPr>
          <w:p>
            <w:pPr>
              <w:spacing w:line="460" w:lineRule="exact"/>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4" w:type="dxa"/>
            <w:gridSpan w:val="7"/>
          </w:tcPr>
          <w:p>
            <w:pPr>
              <w:spacing w:line="460" w:lineRule="exact"/>
              <w:ind w:left="0" w:leftChars="0" w:firstLine="0" w:firstLineChars="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总价（小写）：</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（大写）：</w:t>
            </w:r>
          </w:p>
        </w:tc>
      </w:tr>
    </w:tbl>
    <w:p>
      <w:pPr>
        <w:spacing w:line="460" w:lineRule="exact"/>
        <w:ind w:left="192"/>
        <w:rPr>
          <w:rFonts w:hint="eastAsia" w:asciiTheme="majorEastAsia" w:hAnsiTheme="majorEastAsia" w:eastAsiaTheme="majorEastAsia" w:cstheme="majorEastAsia"/>
          <w:sz w:val="24"/>
        </w:rPr>
      </w:pPr>
    </w:p>
    <w:p>
      <w:pPr>
        <w:spacing w:line="460" w:lineRule="exact"/>
        <w:ind w:left="192"/>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b/>
          <w:sz w:val="24"/>
        </w:rPr>
      </w:pPr>
    </w:p>
    <w:p>
      <w:pPr>
        <w:spacing w:line="460" w:lineRule="exact"/>
        <w:rPr>
          <w:rFonts w:hint="eastAsia" w:asciiTheme="majorEastAsia" w:hAnsiTheme="majorEastAsia" w:eastAsiaTheme="majorEastAsia" w:cstheme="majorEastAsia"/>
          <w:b/>
          <w:sz w:val="24"/>
        </w:rPr>
      </w:pPr>
    </w:p>
    <w:p>
      <w:pPr>
        <w:spacing w:line="460" w:lineRule="exact"/>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24"/>
        </w:rPr>
        <w:br w:type="page"/>
      </w:r>
      <w:bookmarkStart w:id="162" w:name="_Toc11069_WPSOffice_Level1"/>
      <w:bookmarkStart w:id="163" w:name="_Toc13984_WPSOffice_Level1"/>
      <w:r>
        <w:rPr>
          <w:rFonts w:hint="eastAsia" w:asciiTheme="majorEastAsia" w:hAnsiTheme="majorEastAsia" w:eastAsiaTheme="majorEastAsia" w:cstheme="majorEastAsia"/>
          <w:b/>
          <w:sz w:val="32"/>
          <w:szCs w:val="32"/>
        </w:rPr>
        <w:t>报价分项一览表</w:t>
      </w:r>
      <w:bookmarkEnd w:id="162"/>
      <w:bookmarkEnd w:id="163"/>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包号：</w:t>
      </w:r>
      <w:r>
        <w:rPr>
          <w:rFonts w:hint="eastAsia" w:asciiTheme="majorEastAsia" w:hAnsiTheme="majorEastAsia" w:eastAsiaTheme="majorEastAsia" w:cstheme="majorEastAsia"/>
          <w:sz w:val="24"/>
          <w:u w:val="single"/>
        </w:rPr>
        <w:t xml:space="preserve">                        </w:t>
      </w:r>
    </w:p>
    <w:p>
      <w:pPr>
        <w:spacing w:line="46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sz w:val="24"/>
        </w:rPr>
        <w:t xml:space="preserve">                                                 单位：   元（注明币种）</w:t>
      </w:r>
    </w:p>
    <w:tbl>
      <w:tblPr>
        <w:tblStyle w:val="17"/>
        <w:tblW w:w="9879" w:type="dxa"/>
        <w:jc w:val="center"/>
        <w:tblLayout w:type="fixed"/>
        <w:tblCellMar>
          <w:top w:w="0" w:type="dxa"/>
          <w:left w:w="108" w:type="dxa"/>
          <w:bottom w:w="0" w:type="dxa"/>
          <w:right w:w="108" w:type="dxa"/>
        </w:tblCellMar>
      </w:tblPr>
      <w:tblGrid>
        <w:gridCol w:w="850"/>
        <w:gridCol w:w="1500"/>
        <w:gridCol w:w="2156"/>
        <w:gridCol w:w="1305"/>
        <w:gridCol w:w="809"/>
        <w:gridCol w:w="1755"/>
        <w:gridCol w:w="767"/>
        <w:gridCol w:w="737"/>
      </w:tblGrid>
      <w:tr>
        <w:tblPrEx>
          <w:tblCellMar>
            <w:top w:w="0" w:type="dxa"/>
            <w:left w:w="108" w:type="dxa"/>
            <w:bottom w:w="0" w:type="dxa"/>
            <w:right w:w="108" w:type="dxa"/>
          </w:tblCellMar>
        </w:tblPrEx>
        <w:trPr>
          <w:trHeight w:val="555" w:hRule="atLeast"/>
          <w:jc w:val="center"/>
        </w:trPr>
        <w:tc>
          <w:tcPr>
            <w:tcW w:w="850" w:type="dxa"/>
            <w:tcBorders>
              <w:top w:val="single" w:color="auto" w:sz="8" w:space="0"/>
              <w:left w:val="single" w:color="auto" w:sz="8" w:space="0"/>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项号</w:t>
            </w:r>
          </w:p>
        </w:tc>
        <w:tc>
          <w:tcPr>
            <w:tcW w:w="1500" w:type="dxa"/>
            <w:tcBorders>
              <w:top w:val="single" w:color="auto" w:sz="8" w:space="0"/>
              <w:left w:val="nil"/>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服务分项名称</w:t>
            </w:r>
          </w:p>
        </w:tc>
        <w:tc>
          <w:tcPr>
            <w:tcW w:w="2156" w:type="dxa"/>
            <w:tcBorders>
              <w:top w:val="single" w:color="auto" w:sz="8" w:space="0"/>
              <w:left w:val="nil"/>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服务分项内容</w:t>
            </w:r>
          </w:p>
        </w:tc>
        <w:tc>
          <w:tcPr>
            <w:tcW w:w="1305" w:type="dxa"/>
            <w:tcBorders>
              <w:top w:val="single" w:color="auto" w:sz="8" w:space="0"/>
              <w:left w:val="nil"/>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服务地点</w:t>
            </w:r>
          </w:p>
        </w:tc>
        <w:tc>
          <w:tcPr>
            <w:tcW w:w="809" w:type="dxa"/>
            <w:tcBorders>
              <w:top w:val="single" w:color="auto" w:sz="8" w:space="0"/>
              <w:left w:val="nil"/>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c>
          <w:tcPr>
            <w:tcW w:w="1755" w:type="dxa"/>
            <w:tcBorders>
              <w:top w:val="single" w:color="auto" w:sz="8" w:space="0"/>
              <w:left w:val="nil"/>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计量单位</w:t>
            </w:r>
          </w:p>
        </w:tc>
        <w:tc>
          <w:tcPr>
            <w:tcW w:w="767" w:type="dxa"/>
            <w:tcBorders>
              <w:top w:val="single" w:color="auto" w:sz="8" w:space="0"/>
              <w:left w:val="nil"/>
              <w:bottom w:val="single" w:color="auto" w:sz="4" w:space="0"/>
              <w:right w:val="single" w:color="auto" w:sz="4" w:space="0"/>
            </w:tcBorders>
            <w:vAlign w:val="center"/>
          </w:tcPr>
          <w:p>
            <w:pPr>
              <w:widowControl/>
              <w:ind w:left="0" w:leftChars="0" w:firstLine="0" w:firstLineChars="0"/>
              <w:jc w:val="center"/>
              <w:rPr>
                <w:rFonts w:hint="eastAsia"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数量</w:t>
            </w:r>
          </w:p>
        </w:tc>
        <w:tc>
          <w:tcPr>
            <w:tcW w:w="737" w:type="dxa"/>
            <w:tcBorders>
              <w:top w:val="single" w:color="auto" w:sz="8" w:space="0"/>
              <w:left w:val="nil"/>
              <w:bottom w:val="single" w:color="auto" w:sz="4" w:space="0"/>
              <w:right w:val="single" w:color="auto" w:sz="8" w:space="0"/>
            </w:tcBorders>
            <w:vAlign w:val="center"/>
          </w:tcPr>
          <w:p>
            <w:pPr>
              <w:widowControl/>
              <w:ind w:left="0" w:leftChars="0" w:firstLine="0" w:firstLineChars="0"/>
              <w:jc w:val="center"/>
              <w:rPr>
                <w:rFonts w:hint="eastAsia"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总价</w:t>
            </w:r>
          </w:p>
        </w:tc>
      </w:tr>
      <w:tr>
        <w:tblPrEx>
          <w:tblCellMar>
            <w:top w:w="0" w:type="dxa"/>
            <w:left w:w="108" w:type="dxa"/>
            <w:bottom w:w="0" w:type="dxa"/>
            <w:right w:w="108" w:type="dxa"/>
          </w:tblCellMar>
        </w:tblPrEx>
        <w:trPr>
          <w:trHeight w:val="465" w:hRule="atLeast"/>
          <w:jc w:val="center"/>
        </w:trPr>
        <w:tc>
          <w:tcPr>
            <w:tcW w:w="850" w:type="dxa"/>
            <w:tcBorders>
              <w:top w:val="nil"/>
              <w:left w:val="single" w:color="auto" w:sz="8"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5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215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30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809"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75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6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18"/>
                <w:szCs w:val="18"/>
              </w:rPr>
            </w:pPr>
          </w:p>
        </w:tc>
        <w:tc>
          <w:tcPr>
            <w:tcW w:w="737" w:type="dxa"/>
            <w:tcBorders>
              <w:top w:val="nil"/>
              <w:left w:val="nil"/>
              <w:bottom w:val="single" w:color="auto" w:sz="4" w:space="0"/>
              <w:right w:val="single" w:color="auto" w:sz="8" w:space="0"/>
            </w:tcBorders>
            <w:vAlign w:val="center"/>
          </w:tcPr>
          <w:p>
            <w:pPr>
              <w:widowControl/>
              <w:jc w:val="center"/>
              <w:rPr>
                <w:rFonts w:hint="eastAsia" w:asciiTheme="majorEastAsia" w:hAnsiTheme="majorEastAsia" w:eastAsiaTheme="majorEastAsia" w:cstheme="majorEastAsia"/>
                <w:kern w:val="0"/>
                <w:sz w:val="24"/>
                <w:szCs w:val="24"/>
              </w:rPr>
            </w:pPr>
          </w:p>
        </w:tc>
      </w:tr>
      <w:tr>
        <w:tblPrEx>
          <w:tblCellMar>
            <w:top w:w="0" w:type="dxa"/>
            <w:left w:w="108" w:type="dxa"/>
            <w:bottom w:w="0" w:type="dxa"/>
            <w:right w:w="108" w:type="dxa"/>
          </w:tblCellMar>
        </w:tblPrEx>
        <w:trPr>
          <w:trHeight w:val="465" w:hRule="atLeast"/>
          <w:jc w:val="center"/>
        </w:trPr>
        <w:tc>
          <w:tcPr>
            <w:tcW w:w="850" w:type="dxa"/>
            <w:tcBorders>
              <w:top w:val="nil"/>
              <w:left w:val="single" w:color="auto" w:sz="8"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5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215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30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809"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75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6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37" w:type="dxa"/>
            <w:tcBorders>
              <w:top w:val="nil"/>
              <w:left w:val="nil"/>
              <w:bottom w:val="single" w:color="auto" w:sz="4" w:space="0"/>
              <w:right w:val="single" w:color="auto" w:sz="8" w:space="0"/>
            </w:tcBorders>
            <w:vAlign w:val="center"/>
          </w:tcPr>
          <w:p>
            <w:pPr>
              <w:widowControl/>
              <w:jc w:val="center"/>
              <w:rPr>
                <w:rFonts w:hint="eastAsia" w:asciiTheme="majorEastAsia" w:hAnsiTheme="majorEastAsia" w:eastAsiaTheme="majorEastAsia" w:cstheme="majorEastAsia"/>
                <w:kern w:val="0"/>
                <w:sz w:val="24"/>
                <w:szCs w:val="24"/>
              </w:rPr>
            </w:pPr>
          </w:p>
        </w:tc>
      </w:tr>
      <w:tr>
        <w:tblPrEx>
          <w:tblCellMar>
            <w:top w:w="0" w:type="dxa"/>
            <w:left w:w="108" w:type="dxa"/>
            <w:bottom w:w="0" w:type="dxa"/>
            <w:right w:w="108" w:type="dxa"/>
          </w:tblCellMar>
        </w:tblPrEx>
        <w:trPr>
          <w:trHeight w:val="465" w:hRule="atLeast"/>
          <w:jc w:val="center"/>
        </w:trPr>
        <w:tc>
          <w:tcPr>
            <w:tcW w:w="850" w:type="dxa"/>
            <w:tcBorders>
              <w:top w:val="nil"/>
              <w:left w:val="single" w:color="auto" w:sz="8"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5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215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30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809"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75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6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37" w:type="dxa"/>
            <w:tcBorders>
              <w:top w:val="nil"/>
              <w:left w:val="nil"/>
              <w:bottom w:val="single" w:color="auto" w:sz="4" w:space="0"/>
              <w:right w:val="single" w:color="auto" w:sz="8" w:space="0"/>
            </w:tcBorders>
            <w:vAlign w:val="center"/>
          </w:tcPr>
          <w:p>
            <w:pPr>
              <w:widowControl/>
              <w:jc w:val="center"/>
              <w:rPr>
                <w:rFonts w:hint="eastAsia" w:asciiTheme="majorEastAsia" w:hAnsiTheme="majorEastAsia" w:eastAsiaTheme="majorEastAsia" w:cstheme="majorEastAsia"/>
                <w:kern w:val="0"/>
                <w:sz w:val="24"/>
                <w:szCs w:val="24"/>
              </w:rPr>
            </w:pPr>
          </w:p>
        </w:tc>
      </w:tr>
      <w:tr>
        <w:tblPrEx>
          <w:tblCellMar>
            <w:top w:w="0" w:type="dxa"/>
            <w:left w:w="108" w:type="dxa"/>
            <w:bottom w:w="0" w:type="dxa"/>
            <w:right w:w="108" w:type="dxa"/>
          </w:tblCellMar>
        </w:tblPrEx>
        <w:trPr>
          <w:trHeight w:val="465" w:hRule="atLeast"/>
          <w:jc w:val="center"/>
        </w:trPr>
        <w:tc>
          <w:tcPr>
            <w:tcW w:w="850" w:type="dxa"/>
            <w:tcBorders>
              <w:top w:val="nil"/>
              <w:left w:val="single" w:color="auto" w:sz="8"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5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215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30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809"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75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6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37" w:type="dxa"/>
            <w:tcBorders>
              <w:top w:val="nil"/>
              <w:left w:val="nil"/>
              <w:bottom w:val="single" w:color="auto" w:sz="4" w:space="0"/>
              <w:right w:val="single" w:color="auto" w:sz="8" w:space="0"/>
            </w:tcBorders>
            <w:vAlign w:val="center"/>
          </w:tcPr>
          <w:p>
            <w:pPr>
              <w:widowControl/>
              <w:jc w:val="center"/>
              <w:rPr>
                <w:rFonts w:hint="eastAsia" w:asciiTheme="majorEastAsia" w:hAnsiTheme="majorEastAsia" w:eastAsiaTheme="majorEastAsia" w:cstheme="majorEastAsia"/>
                <w:kern w:val="0"/>
                <w:sz w:val="24"/>
                <w:szCs w:val="24"/>
              </w:rPr>
            </w:pPr>
          </w:p>
        </w:tc>
      </w:tr>
      <w:tr>
        <w:tblPrEx>
          <w:tblCellMar>
            <w:top w:w="0" w:type="dxa"/>
            <w:left w:w="108" w:type="dxa"/>
            <w:bottom w:w="0" w:type="dxa"/>
            <w:right w:w="108" w:type="dxa"/>
          </w:tblCellMar>
        </w:tblPrEx>
        <w:trPr>
          <w:trHeight w:val="465" w:hRule="atLeast"/>
          <w:jc w:val="center"/>
        </w:trPr>
        <w:tc>
          <w:tcPr>
            <w:tcW w:w="850" w:type="dxa"/>
            <w:tcBorders>
              <w:top w:val="nil"/>
              <w:left w:val="single" w:color="auto" w:sz="8"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5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215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30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809"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75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6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37" w:type="dxa"/>
            <w:tcBorders>
              <w:top w:val="nil"/>
              <w:left w:val="nil"/>
              <w:bottom w:val="single" w:color="auto" w:sz="4" w:space="0"/>
              <w:right w:val="single" w:color="auto" w:sz="8" w:space="0"/>
            </w:tcBorders>
            <w:vAlign w:val="center"/>
          </w:tcPr>
          <w:p>
            <w:pPr>
              <w:widowControl/>
              <w:jc w:val="center"/>
              <w:rPr>
                <w:rFonts w:hint="eastAsia" w:asciiTheme="majorEastAsia" w:hAnsiTheme="majorEastAsia" w:eastAsiaTheme="majorEastAsia" w:cstheme="majorEastAsia"/>
                <w:kern w:val="0"/>
                <w:sz w:val="24"/>
                <w:szCs w:val="24"/>
              </w:rPr>
            </w:pPr>
          </w:p>
        </w:tc>
      </w:tr>
      <w:tr>
        <w:tblPrEx>
          <w:tblCellMar>
            <w:top w:w="0" w:type="dxa"/>
            <w:left w:w="108" w:type="dxa"/>
            <w:bottom w:w="0" w:type="dxa"/>
            <w:right w:w="108" w:type="dxa"/>
          </w:tblCellMar>
        </w:tblPrEx>
        <w:trPr>
          <w:trHeight w:val="465" w:hRule="atLeast"/>
          <w:jc w:val="center"/>
        </w:trPr>
        <w:tc>
          <w:tcPr>
            <w:tcW w:w="850" w:type="dxa"/>
            <w:tcBorders>
              <w:top w:val="nil"/>
              <w:left w:val="single" w:color="auto" w:sz="8"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5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215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30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809"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75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6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37" w:type="dxa"/>
            <w:tcBorders>
              <w:top w:val="nil"/>
              <w:left w:val="nil"/>
              <w:bottom w:val="single" w:color="auto" w:sz="4" w:space="0"/>
              <w:right w:val="single" w:color="auto" w:sz="8" w:space="0"/>
            </w:tcBorders>
            <w:vAlign w:val="center"/>
          </w:tcPr>
          <w:p>
            <w:pPr>
              <w:widowControl/>
              <w:jc w:val="center"/>
              <w:rPr>
                <w:rFonts w:hint="eastAsia" w:asciiTheme="majorEastAsia" w:hAnsiTheme="majorEastAsia" w:eastAsiaTheme="majorEastAsia" w:cstheme="majorEastAsia"/>
                <w:kern w:val="0"/>
                <w:sz w:val="24"/>
                <w:szCs w:val="24"/>
              </w:rPr>
            </w:pPr>
          </w:p>
        </w:tc>
      </w:tr>
      <w:tr>
        <w:tblPrEx>
          <w:tblCellMar>
            <w:top w:w="0" w:type="dxa"/>
            <w:left w:w="108" w:type="dxa"/>
            <w:bottom w:w="0" w:type="dxa"/>
            <w:right w:w="108" w:type="dxa"/>
          </w:tblCellMar>
        </w:tblPrEx>
        <w:trPr>
          <w:trHeight w:val="1074" w:hRule="atLeast"/>
          <w:jc w:val="center"/>
        </w:trPr>
        <w:tc>
          <w:tcPr>
            <w:tcW w:w="9879" w:type="dxa"/>
            <w:gridSpan w:val="8"/>
            <w:tcBorders>
              <w:top w:val="nil"/>
              <w:left w:val="single" w:color="auto" w:sz="8" w:space="0"/>
              <w:bottom w:val="single" w:color="auto" w:sz="8" w:space="0"/>
              <w:right w:val="single" w:color="auto" w:sz="8" w:space="0"/>
            </w:tcBorders>
            <w:vAlign w:val="center"/>
          </w:tcPr>
          <w:p>
            <w:pPr>
              <w:spacing w:line="460" w:lineRule="exact"/>
              <w:ind w:left="0" w:leftChars="0" w:firstLine="0" w:firstLineChars="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总价（小写）：</w:t>
            </w:r>
          </w:p>
          <w:p>
            <w:pPr>
              <w:widowControl/>
              <w:ind w:firstLine="480"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rPr>
              <w:t>（大写）：</w:t>
            </w:r>
          </w:p>
        </w:tc>
      </w:tr>
    </w:tbl>
    <w:p>
      <w:pPr>
        <w:ind w:left="180"/>
        <w:rPr>
          <w:rFonts w:hint="eastAsia" w:asciiTheme="majorEastAsia" w:hAnsiTheme="majorEastAsia" w:eastAsiaTheme="majorEastAsia" w:cstheme="majorEastAsia"/>
        </w:rPr>
      </w:pPr>
    </w:p>
    <w:p>
      <w:pPr>
        <w:spacing w:line="360" w:lineRule="auto"/>
        <w:ind w:left="181"/>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注：</w:t>
      </w:r>
    </w:p>
    <w:p>
      <w:pPr>
        <w:spacing w:line="360" w:lineRule="auto"/>
        <w:ind w:left="181"/>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 商品属性应在“环保产品”、“节能、节水产品”、“自主知识产权产品”、“无”四个选择项中选择填写。</w:t>
      </w:r>
    </w:p>
    <w:p>
      <w:pPr>
        <w:spacing w:line="360" w:lineRule="auto"/>
        <w:ind w:left="181"/>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2. 报价分项一览表中应列明报价一览表中每项的分项内容。</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u w:val="single"/>
          <w:lang w:val="en-US" w:eastAsia="zh-CN"/>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widowControl/>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24"/>
        </w:rPr>
        <w:br w:type="page"/>
      </w:r>
      <w:bookmarkStart w:id="164" w:name="_Toc24638_WPSOffice_Level1"/>
      <w:bookmarkStart w:id="165" w:name="_Toc12943_WPSOffice_Level1"/>
      <w:r>
        <w:rPr>
          <w:rFonts w:hint="eastAsia" w:asciiTheme="majorEastAsia" w:hAnsiTheme="majorEastAsia" w:eastAsiaTheme="majorEastAsia" w:cstheme="majorEastAsia"/>
          <w:b/>
          <w:sz w:val="32"/>
          <w:szCs w:val="32"/>
        </w:rPr>
        <w:t>环保产品投标价格一览表</w:t>
      </w:r>
      <w:bookmarkEnd w:id="164"/>
      <w:bookmarkEnd w:id="165"/>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包号：</w:t>
      </w:r>
      <w:r>
        <w:rPr>
          <w:rFonts w:hint="eastAsia" w:asciiTheme="majorEastAsia" w:hAnsiTheme="majorEastAsia" w:eastAsiaTheme="majorEastAsia" w:cstheme="majorEastAsia"/>
          <w:sz w:val="24"/>
          <w:u w:val="single"/>
        </w:rPr>
        <w:t xml:space="preserve">                        </w:t>
      </w:r>
    </w:p>
    <w:p>
      <w:pPr>
        <w:spacing w:line="460" w:lineRule="exact"/>
        <w:ind w:firstLine="5640" w:firstLineChars="23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单位：元（注明币种）</w:t>
      </w:r>
    </w:p>
    <w:tbl>
      <w:tblPr>
        <w:tblStyle w:val="17"/>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44"/>
        <w:gridCol w:w="1538"/>
        <w:gridCol w:w="1059"/>
        <w:gridCol w:w="1728"/>
        <w:gridCol w:w="1191"/>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序号</w:t>
            </w:r>
          </w:p>
        </w:tc>
        <w:tc>
          <w:tcPr>
            <w:tcW w:w="1544"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货物名称</w:t>
            </w:r>
          </w:p>
        </w:tc>
        <w:tc>
          <w:tcPr>
            <w:tcW w:w="1538"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制造商</w:t>
            </w:r>
          </w:p>
        </w:tc>
        <w:tc>
          <w:tcPr>
            <w:tcW w:w="105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品牌</w:t>
            </w:r>
          </w:p>
        </w:tc>
        <w:tc>
          <w:tcPr>
            <w:tcW w:w="1728"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环境标志认证证书号</w:t>
            </w:r>
          </w:p>
        </w:tc>
        <w:tc>
          <w:tcPr>
            <w:tcW w:w="119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投标价格</w:t>
            </w:r>
          </w:p>
        </w:tc>
        <w:tc>
          <w:tcPr>
            <w:tcW w:w="134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占全包报价的比例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9" w:type="dxa"/>
            <w:gridSpan w:val="5"/>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合计：</w:t>
            </w: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9"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9" w:type="dxa"/>
            <w:gridSpan w:val="5"/>
            <w:tcBorders>
              <w:top w:val="single" w:color="auto" w:sz="4" w:space="0"/>
              <w:left w:val="single" w:color="auto" w:sz="4" w:space="0"/>
              <w:bottom w:val="single" w:color="auto" w:sz="4" w:space="0"/>
              <w:right w:val="single" w:color="auto" w:sz="4" w:space="0"/>
            </w:tcBorders>
          </w:tcPr>
          <w:p>
            <w:pPr>
              <w:ind w:left="27" w:hanging="28" w:hangingChars="13"/>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获得认证的产品</w:t>
            </w: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9"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1544"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9"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728"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9"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1544"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9"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728"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9"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p>
        </w:tc>
        <w:tc>
          <w:tcPr>
            <w:tcW w:w="1544"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9"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728"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9"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p>
        </w:tc>
        <w:tc>
          <w:tcPr>
            <w:tcW w:w="1544"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9"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728"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9"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r>
    </w:tbl>
    <w:p>
      <w:pPr>
        <w:spacing w:line="460" w:lineRule="exact"/>
        <w:ind w:left="192"/>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注：</w:t>
      </w:r>
    </w:p>
    <w:p>
      <w:pPr>
        <w:spacing w:line="460" w:lineRule="exact"/>
        <w:ind w:firstLine="241" w:firstLineChars="1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1.若所投产品为环境标志产品清单内产品（以中国政府采购网公布最新一期的“环境标志产品政府采购清单”为准），或未在清单中列出但具有《环境标志产品认证证书》的产品，需填写该附表（否则不予认定）。</w:t>
      </w:r>
    </w:p>
    <w:p>
      <w:pPr>
        <w:spacing w:line="460" w:lineRule="exact"/>
        <w:ind w:firstLine="241"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sz w:val="24"/>
        </w:rPr>
        <w:t>2.投标产品不涉及到环保产品该附表无需提供。</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rPr>
          <w:rFonts w:hint="eastAsia" w:asciiTheme="majorEastAsia" w:hAnsiTheme="majorEastAsia" w:eastAsiaTheme="majorEastAsia" w:cstheme="majorEastAsia"/>
          <w:sz w:val="24"/>
        </w:rPr>
      </w:pPr>
    </w:p>
    <w:p>
      <w:pPr>
        <w:spacing w:line="360" w:lineRule="auto"/>
        <w:jc w:val="center"/>
        <w:outlineLvl w:val="1"/>
        <w:rPr>
          <w:rFonts w:hint="eastAsia" w:asciiTheme="majorEastAsia" w:hAnsiTheme="majorEastAsia" w:eastAsiaTheme="majorEastAsia" w:cstheme="majorEastAsia"/>
          <w:b/>
          <w:sz w:val="32"/>
          <w:szCs w:val="32"/>
        </w:rPr>
      </w:pPr>
      <w:bookmarkStart w:id="166" w:name="_Toc31369_WPSOffice_Level1"/>
    </w:p>
    <w:p>
      <w:pPr>
        <w:spacing w:line="360" w:lineRule="auto"/>
        <w:jc w:val="center"/>
        <w:outlineLvl w:val="1"/>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32"/>
          <w:szCs w:val="32"/>
        </w:rPr>
        <w:t>节能产品投标价格一览表</w:t>
      </w:r>
      <w:bookmarkEnd w:id="166"/>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包号：</w:t>
      </w:r>
      <w:r>
        <w:rPr>
          <w:rFonts w:hint="eastAsia" w:asciiTheme="majorEastAsia" w:hAnsiTheme="majorEastAsia" w:eastAsiaTheme="majorEastAsia" w:cstheme="majorEastAsia"/>
          <w:sz w:val="24"/>
          <w:u w:val="single"/>
        </w:rPr>
        <w:t xml:space="preserve">                        </w:t>
      </w:r>
    </w:p>
    <w:p>
      <w:pPr>
        <w:spacing w:line="460" w:lineRule="exact"/>
        <w:ind w:firstLine="5880" w:firstLineChars="24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单位：元（注明币种）</w:t>
      </w:r>
    </w:p>
    <w:tbl>
      <w:tblPr>
        <w:tblStyle w:val="17"/>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52"/>
        <w:gridCol w:w="1538"/>
        <w:gridCol w:w="1059"/>
        <w:gridCol w:w="1731"/>
        <w:gridCol w:w="1191"/>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序号</w:t>
            </w:r>
          </w:p>
        </w:tc>
        <w:tc>
          <w:tcPr>
            <w:tcW w:w="195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货物名称</w:t>
            </w:r>
          </w:p>
        </w:tc>
        <w:tc>
          <w:tcPr>
            <w:tcW w:w="1538"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制造商</w:t>
            </w:r>
          </w:p>
        </w:tc>
        <w:tc>
          <w:tcPr>
            <w:tcW w:w="105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品牌</w:t>
            </w:r>
          </w:p>
        </w:tc>
        <w:tc>
          <w:tcPr>
            <w:tcW w:w="173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节能认证证书号</w:t>
            </w:r>
          </w:p>
        </w:tc>
        <w:tc>
          <w:tcPr>
            <w:tcW w:w="119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投标价格</w:t>
            </w:r>
          </w:p>
        </w:tc>
        <w:tc>
          <w:tcPr>
            <w:tcW w:w="134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占全包报价的比例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2" w:type="dxa"/>
            <w:gridSpan w:val="5"/>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合计：</w:t>
            </w: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7"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2" w:type="dxa"/>
            <w:gridSpan w:val="5"/>
            <w:tcBorders>
              <w:top w:val="single" w:color="auto" w:sz="4" w:space="0"/>
              <w:left w:val="single" w:color="auto" w:sz="4" w:space="0"/>
              <w:bottom w:val="single" w:color="auto" w:sz="4" w:space="0"/>
              <w:right w:val="single" w:color="auto" w:sz="4" w:space="0"/>
            </w:tcBorders>
          </w:tcPr>
          <w:p>
            <w:pPr>
              <w:ind w:left="27" w:hanging="28" w:hangingChars="13"/>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获得认证的产品</w:t>
            </w: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7"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1952"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9"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731"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7"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1952"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9"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731"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7"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p>
        </w:tc>
        <w:tc>
          <w:tcPr>
            <w:tcW w:w="1952"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9"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731"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7"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p>
        </w:tc>
        <w:tc>
          <w:tcPr>
            <w:tcW w:w="1952"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9"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731"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7"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r>
    </w:tbl>
    <w:p>
      <w:pPr>
        <w:spacing w:line="46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注：</w:t>
      </w:r>
    </w:p>
    <w:p>
      <w:pPr>
        <w:spacing w:line="460" w:lineRule="exact"/>
        <w:ind w:firstLine="241" w:firstLineChars="1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1.若所投产品为节能产品清单内产品（以中国政府采购网公布最新一期的“节能产品政府采购清单”为准），或未在清单中列出但具有《节能产品认证证书》的产品，需填写该附表（否则不予认定）。</w:t>
      </w:r>
    </w:p>
    <w:p>
      <w:pPr>
        <w:spacing w:line="460" w:lineRule="exact"/>
        <w:ind w:firstLine="241" w:firstLineChars="1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2.投标产品不涉及到节能产品该附表无需提供。</w:t>
      </w:r>
    </w:p>
    <w:p>
      <w:pPr>
        <w:spacing w:line="460" w:lineRule="exact"/>
        <w:ind w:left="192"/>
        <w:rPr>
          <w:rFonts w:hint="eastAsia" w:asciiTheme="majorEastAsia" w:hAnsiTheme="majorEastAsia" w:eastAsiaTheme="majorEastAsia" w:cstheme="majorEastAsia"/>
          <w:sz w:val="24"/>
        </w:rPr>
      </w:pPr>
    </w:p>
    <w:p>
      <w:pPr>
        <w:spacing w:line="460" w:lineRule="exact"/>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color w:val="000000"/>
          <w:szCs w:val="32"/>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sectPr>
      <w:pgSz w:w="11906" w:h="16838"/>
      <w:pgMar w:top="1418" w:right="1418" w:bottom="1260" w:left="1418" w:header="709" w:footer="709" w:gutter="0"/>
      <w:pgBorders>
        <w:top w:val="none" w:sz="0" w:space="0"/>
        <w:left w:val="none" w:sz="0" w:space="0"/>
        <w:bottom w:val="none" w:sz="0" w:space="0"/>
        <w:right w:val="none" w:sz="0" w:space="0"/>
      </w:pgBorders>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098" o:spid="_x0000_s4098"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41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left"/>
      <w:rPr>
        <w:rFonts w:hint="eastAsia" w:asciiTheme="minorEastAsia" w:hAnsiTheme="minorEastAsia" w:eastAsiaTheme="minorEastAsia" w:cstheme="minorEastAsia"/>
        <w:sz w:val="21"/>
        <w:szCs w:val="21"/>
        <w:u w:val="single"/>
        <w:lang w:eastAsia="zh-CN"/>
      </w:rPr>
    </w:pPr>
  </w:p>
  <w:p>
    <w:pPr>
      <w:pStyle w:val="12"/>
      <w:pBdr>
        <w:bottom w:val="none" w:color="auto" w:sz="0" w:space="0"/>
      </w:pBdr>
      <w:jc w:val="left"/>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lang w:eastAsia="zh-CN"/>
      </w:rPr>
      <w:t>双青片区部分社区、道路市容环境清整项目</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竞争性磋商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2AC5"/>
    <w:multiLevelType w:val="multilevel"/>
    <w:tmpl w:val="0F722AC5"/>
    <w:lvl w:ilvl="0" w:tentative="0">
      <w:start w:val="1"/>
      <w:numFmt w:val="decimal"/>
      <w:lvlText w:val="%1."/>
      <w:lvlJc w:val="left"/>
      <w:pPr>
        <w:ind w:left="541" w:hanging="360"/>
      </w:pPr>
      <w:rPr>
        <w:rFonts w:hint="default"/>
      </w:rPr>
    </w:lvl>
    <w:lvl w:ilvl="1" w:tentative="0">
      <w:start w:val="1"/>
      <w:numFmt w:val="lowerLetter"/>
      <w:lvlText w:val="%2)"/>
      <w:lvlJc w:val="left"/>
      <w:pPr>
        <w:ind w:left="1021" w:hanging="420"/>
      </w:pPr>
    </w:lvl>
    <w:lvl w:ilvl="2" w:tentative="0">
      <w:start w:val="1"/>
      <w:numFmt w:val="lowerRoman"/>
      <w:lvlText w:val="%3."/>
      <w:lvlJc w:val="right"/>
      <w:pPr>
        <w:ind w:left="1441" w:hanging="420"/>
      </w:pPr>
    </w:lvl>
    <w:lvl w:ilvl="3" w:tentative="0">
      <w:start w:val="1"/>
      <w:numFmt w:val="decimal"/>
      <w:lvlText w:val="%4."/>
      <w:lvlJc w:val="left"/>
      <w:pPr>
        <w:ind w:left="1861" w:hanging="420"/>
      </w:pPr>
    </w:lvl>
    <w:lvl w:ilvl="4" w:tentative="0">
      <w:start w:val="1"/>
      <w:numFmt w:val="lowerLetter"/>
      <w:lvlText w:val="%5)"/>
      <w:lvlJc w:val="left"/>
      <w:pPr>
        <w:ind w:left="2281" w:hanging="420"/>
      </w:pPr>
    </w:lvl>
    <w:lvl w:ilvl="5" w:tentative="0">
      <w:start w:val="1"/>
      <w:numFmt w:val="lowerRoman"/>
      <w:lvlText w:val="%6."/>
      <w:lvlJc w:val="right"/>
      <w:pPr>
        <w:ind w:left="2701" w:hanging="420"/>
      </w:pPr>
    </w:lvl>
    <w:lvl w:ilvl="6" w:tentative="0">
      <w:start w:val="1"/>
      <w:numFmt w:val="decimal"/>
      <w:lvlText w:val="%7."/>
      <w:lvlJc w:val="left"/>
      <w:pPr>
        <w:ind w:left="3121" w:hanging="420"/>
      </w:pPr>
    </w:lvl>
    <w:lvl w:ilvl="7" w:tentative="0">
      <w:start w:val="1"/>
      <w:numFmt w:val="lowerLetter"/>
      <w:lvlText w:val="%8)"/>
      <w:lvlJc w:val="left"/>
      <w:pPr>
        <w:ind w:left="3541" w:hanging="420"/>
      </w:pPr>
    </w:lvl>
    <w:lvl w:ilvl="8" w:tentative="0">
      <w:start w:val="1"/>
      <w:numFmt w:val="lowerRoman"/>
      <w:lvlText w:val="%9."/>
      <w:lvlJc w:val="right"/>
      <w:pPr>
        <w:ind w:left="3961" w:hanging="420"/>
      </w:pPr>
    </w:lvl>
  </w:abstractNum>
  <w:abstractNum w:abstractNumId="1">
    <w:nsid w:val="1B485867"/>
    <w:multiLevelType w:val="multilevel"/>
    <w:tmpl w:val="1B485867"/>
    <w:lvl w:ilvl="0" w:tentative="0">
      <w:start w:val="2"/>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BE0687C"/>
    <w:multiLevelType w:val="multilevel"/>
    <w:tmpl w:val="5BE0687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1970E2"/>
    <w:multiLevelType w:val="singleLevel"/>
    <w:tmpl w:val="5D1970E2"/>
    <w:lvl w:ilvl="0" w:tentative="0">
      <w:start w:val="5"/>
      <w:numFmt w:val="chineseCounting"/>
      <w:suff w:val="space"/>
      <w:lvlText w:val="第%1部分"/>
      <w:lvlJc w:val="left"/>
      <w:rPr>
        <w:rFonts w:hint="eastAsia"/>
      </w:rPr>
    </w:lvl>
  </w:abstractNum>
  <w:abstractNum w:abstractNumId="4">
    <w:nsid w:val="6D7C759D"/>
    <w:multiLevelType w:val="multilevel"/>
    <w:tmpl w:val="6D7C759D"/>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doNotTrackMoves/>
  <w:documentProtection w:enforcement="0"/>
  <w:defaultTabStop w:val="720"/>
  <w:drawingGridHorizontalSpacing w:val="11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3,4"/>
    </o:shapelayout>
  </w:hdrShapeDefaults>
  <w:compat>
    <w:spaceForUL/>
    <w:doNotLeaveBackslashAlone/>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78FD"/>
    <w:rsid w:val="00027661"/>
    <w:rsid w:val="00027664"/>
    <w:rsid w:val="000304D5"/>
    <w:rsid w:val="00032DB1"/>
    <w:rsid w:val="00033C20"/>
    <w:rsid w:val="000348EB"/>
    <w:rsid w:val="00036868"/>
    <w:rsid w:val="000379DE"/>
    <w:rsid w:val="000439C6"/>
    <w:rsid w:val="00047DA1"/>
    <w:rsid w:val="00056AE3"/>
    <w:rsid w:val="000625DD"/>
    <w:rsid w:val="0006611F"/>
    <w:rsid w:val="0007281E"/>
    <w:rsid w:val="00087469"/>
    <w:rsid w:val="000936CD"/>
    <w:rsid w:val="000A0710"/>
    <w:rsid w:val="000A37E4"/>
    <w:rsid w:val="000A3A1C"/>
    <w:rsid w:val="000B0E1D"/>
    <w:rsid w:val="000B3053"/>
    <w:rsid w:val="000B3F20"/>
    <w:rsid w:val="000C489A"/>
    <w:rsid w:val="000D00EF"/>
    <w:rsid w:val="000D220C"/>
    <w:rsid w:val="000D2562"/>
    <w:rsid w:val="000D4F58"/>
    <w:rsid w:val="000D5D48"/>
    <w:rsid w:val="000D66FB"/>
    <w:rsid w:val="000E49B4"/>
    <w:rsid w:val="000E5D5A"/>
    <w:rsid w:val="000F3210"/>
    <w:rsid w:val="000F61DE"/>
    <w:rsid w:val="000F65BD"/>
    <w:rsid w:val="0010385B"/>
    <w:rsid w:val="001120E0"/>
    <w:rsid w:val="00116E61"/>
    <w:rsid w:val="00121266"/>
    <w:rsid w:val="001223B9"/>
    <w:rsid w:val="00123690"/>
    <w:rsid w:val="00126CB9"/>
    <w:rsid w:val="00130ABF"/>
    <w:rsid w:val="001318CB"/>
    <w:rsid w:val="00142A02"/>
    <w:rsid w:val="00143349"/>
    <w:rsid w:val="001547A6"/>
    <w:rsid w:val="00164662"/>
    <w:rsid w:val="0016497E"/>
    <w:rsid w:val="001649AE"/>
    <w:rsid w:val="00170935"/>
    <w:rsid w:val="00172A27"/>
    <w:rsid w:val="00177866"/>
    <w:rsid w:val="001778F0"/>
    <w:rsid w:val="00180877"/>
    <w:rsid w:val="0018234B"/>
    <w:rsid w:val="00186534"/>
    <w:rsid w:val="00187DC0"/>
    <w:rsid w:val="0019184F"/>
    <w:rsid w:val="00192B1A"/>
    <w:rsid w:val="001935D8"/>
    <w:rsid w:val="00196429"/>
    <w:rsid w:val="001A098B"/>
    <w:rsid w:val="001A3764"/>
    <w:rsid w:val="001B1E79"/>
    <w:rsid w:val="001B20B3"/>
    <w:rsid w:val="001B75B6"/>
    <w:rsid w:val="001B7ABD"/>
    <w:rsid w:val="001C03C7"/>
    <w:rsid w:val="001C20DB"/>
    <w:rsid w:val="001C4BF4"/>
    <w:rsid w:val="001C541B"/>
    <w:rsid w:val="001C72B9"/>
    <w:rsid w:val="001D0713"/>
    <w:rsid w:val="001D5F51"/>
    <w:rsid w:val="001D6035"/>
    <w:rsid w:val="001E0078"/>
    <w:rsid w:val="001E1B35"/>
    <w:rsid w:val="001E3958"/>
    <w:rsid w:val="001E705B"/>
    <w:rsid w:val="001F3643"/>
    <w:rsid w:val="001F789D"/>
    <w:rsid w:val="001F7F46"/>
    <w:rsid w:val="002222FB"/>
    <w:rsid w:val="00235A06"/>
    <w:rsid w:val="00237B57"/>
    <w:rsid w:val="00240BE5"/>
    <w:rsid w:val="00244247"/>
    <w:rsid w:val="00245723"/>
    <w:rsid w:val="00246411"/>
    <w:rsid w:val="0024776D"/>
    <w:rsid w:val="002512AB"/>
    <w:rsid w:val="002546DF"/>
    <w:rsid w:val="00257B2B"/>
    <w:rsid w:val="0026414A"/>
    <w:rsid w:val="0027013E"/>
    <w:rsid w:val="00272DF8"/>
    <w:rsid w:val="002759DC"/>
    <w:rsid w:val="00275F80"/>
    <w:rsid w:val="00280696"/>
    <w:rsid w:val="00281351"/>
    <w:rsid w:val="002852D9"/>
    <w:rsid w:val="0028570E"/>
    <w:rsid w:val="00292598"/>
    <w:rsid w:val="00297FF8"/>
    <w:rsid w:val="002A6E2E"/>
    <w:rsid w:val="002B20F6"/>
    <w:rsid w:val="002B7E54"/>
    <w:rsid w:val="002C35BC"/>
    <w:rsid w:val="002C7CB1"/>
    <w:rsid w:val="002D0357"/>
    <w:rsid w:val="002D298E"/>
    <w:rsid w:val="002D3ACA"/>
    <w:rsid w:val="002E78DE"/>
    <w:rsid w:val="002E7BA9"/>
    <w:rsid w:val="002E7FD4"/>
    <w:rsid w:val="002F2FCC"/>
    <w:rsid w:val="002F35A1"/>
    <w:rsid w:val="00307334"/>
    <w:rsid w:val="00307FD1"/>
    <w:rsid w:val="003220A1"/>
    <w:rsid w:val="00323B43"/>
    <w:rsid w:val="00327D0E"/>
    <w:rsid w:val="00331882"/>
    <w:rsid w:val="003341F0"/>
    <w:rsid w:val="00343B0E"/>
    <w:rsid w:val="003451F7"/>
    <w:rsid w:val="00355AA1"/>
    <w:rsid w:val="00357BF4"/>
    <w:rsid w:val="00363A75"/>
    <w:rsid w:val="00373709"/>
    <w:rsid w:val="00377AFE"/>
    <w:rsid w:val="003836E1"/>
    <w:rsid w:val="003838FB"/>
    <w:rsid w:val="00383FBB"/>
    <w:rsid w:val="0038532C"/>
    <w:rsid w:val="003B070C"/>
    <w:rsid w:val="003B42DE"/>
    <w:rsid w:val="003D37D8"/>
    <w:rsid w:val="003D5E06"/>
    <w:rsid w:val="003E1BAE"/>
    <w:rsid w:val="003E3402"/>
    <w:rsid w:val="003E4BFF"/>
    <w:rsid w:val="003F230C"/>
    <w:rsid w:val="003F3F2D"/>
    <w:rsid w:val="003F6D2F"/>
    <w:rsid w:val="004020E6"/>
    <w:rsid w:val="00404CB4"/>
    <w:rsid w:val="0041475D"/>
    <w:rsid w:val="00416C40"/>
    <w:rsid w:val="00417157"/>
    <w:rsid w:val="00426133"/>
    <w:rsid w:val="00431394"/>
    <w:rsid w:val="00432B45"/>
    <w:rsid w:val="00434CC5"/>
    <w:rsid w:val="004358AB"/>
    <w:rsid w:val="00435F45"/>
    <w:rsid w:val="00442262"/>
    <w:rsid w:val="00443F2C"/>
    <w:rsid w:val="0045039A"/>
    <w:rsid w:val="00452387"/>
    <w:rsid w:val="0045357D"/>
    <w:rsid w:val="004543DC"/>
    <w:rsid w:val="00464F5E"/>
    <w:rsid w:val="004739DF"/>
    <w:rsid w:val="0047691C"/>
    <w:rsid w:val="00477646"/>
    <w:rsid w:val="00486144"/>
    <w:rsid w:val="00487218"/>
    <w:rsid w:val="004A4ADE"/>
    <w:rsid w:val="004B3298"/>
    <w:rsid w:val="004B50D2"/>
    <w:rsid w:val="004C37BC"/>
    <w:rsid w:val="004D39FB"/>
    <w:rsid w:val="004D51D2"/>
    <w:rsid w:val="004D746C"/>
    <w:rsid w:val="004E1D27"/>
    <w:rsid w:val="004E2B70"/>
    <w:rsid w:val="004E33F7"/>
    <w:rsid w:val="004E662C"/>
    <w:rsid w:val="004F5BF5"/>
    <w:rsid w:val="004F629C"/>
    <w:rsid w:val="004F6E05"/>
    <w:rsid w:val="00504231"/>
    <w:rsid w:val="005115A6"/>
    <w:rsid w:val="00514647"/>
    <w:rsid w:val="0051491F"/>
    <w:rsid w:val="00514B73"/>
    <w:rsid w:val="00520EE2"/>
    <w:rsid w:val="00522996"/>
    <w:rsid w:val="005241A5"/>
    <w:rsid w:val="00524A0D"/>
    <w:rsid w:val="00524B8B"/>
    <w:rsid w:val="005265F5"/>
    <w:rsid w:val="005303DB"/>
    <w:rsid w:val="00532521"/>
    <w:rsid w:val="00545E7B"/>
    <w:rsid w:val="005469AA"/>
    <w:rsid w:val="0055001D"/>
    <w:rsid w:val="00564033"/>
    <w:rsid w:val="005713E1"/>
    <w:rsid w:val="00577702"/>
    <w:rsid w:val="00582A1C"/>
    <w:rsid w:val="0058686A"/>
    <w:rsid w:val="00593045"/>
    <w:rsid w:val="00594495"/>
    <w:rsid w:val="00596503"/>
    <w:rsid w:val="005A66E5"/>
    <w:rsid w:val="005A69A9"/>
    <w:rsid w:val="005B0DFC"/>
    <w:rsid w:val="005B2660"/>
    <w:rsid w:val="005C142A"/>
    <w:rsid w:val="005C4FC5"/>
    <w:rsid w:val="005D43D3"/>
    <w:rsid w:val="005D5588"/>
    <w:rsid w:val="005D6B27"/>
    <w:rsid w:val="005E1841"/>
    <w:rsid w:val="005E2BC5"/>
    <w:rsid w:val="005E3A41"/>
    <w:rsid w:val="005E4420"/>
    <w:rsid w:val="005E5999"/>
    <w:rsid w:val="005E6AFE"/>
    <w:rsid w:val="005E70C9"/>
    <w:rsid w:val="005E79A2"/>
    <w:rsid w:val="00605EA9"/>
    <w:rsid w:val="006209E6"/>
    <w:rsid w:val="0063338F"/>
    <w:rsid w:val="00633A8B"/>
    <w:rsid w:val="0063696A"/>
    <w:rsid w:val="00637524"/>
    <w:rsid w:val="0064192C"/>
    <w:rsid w:val="0064291F"/>
    <w:rsid w:val="006525F5"/>
    <w:rsid w:val="00663074"/>
    <w:rsid w:val="0066680E"/>
    <w:rsid w:val="00666CD8"/>
    <w:rsid w:val="006746CC"/>
    <w:rsid w:val="00685B3A"/>
    <w:rsid w:val="006A23EC"/>
    <w:rsid w:val="006A281C"/>
    <w:rsid w:val="006A2DF6"/>
    <w:rsid w:val="006A7889"/>
    <w:rsid w:val="006B11E9"/>
    <w:rsid w:val="006B5CC1"/>
    <w:rsid w:val="006C262B"/>
    <w:rsid w:val="006D0F46"/>
    <w:rsid w:val="006E2577"/>
    <w:rsid w:val="006E2E88"/>
    <w:rsid w:val="006E3632"/>
    <w:rsid w:val="006E69A6"/>
    <w:rsid w:val="006E7C22"/>
    <w:rsid w:val="006F2C50"/>
    <w:rsid w:val="006F5554"/>
    <w:rsid w:val="006F6C6D"/>
    <w:rsid w:val="00704421"/>
    <w:rsid w:val="0072144C"/>
    <w:rsid w:val="0072188B"/>
    <w:rsid w:val="0073162C"/>
    <w:rsid w:val="00731D38"/>
    <w:rsid w:val="00736E12"/>
    <w:rsid w:val="0074027D"/>
    <w:rsid w:val="00741EF9"/>
    <w:rsid w:val="007464E8"/>
    <w:rsid w:val="007501D6"/>
    <w:rsid w:val="00753985"/>
    <w:rsid w:val="007558E2"/>
    <w:rsid w:val="00755995"/>
    <w:rsid w:val="007577BA"/>
    <w:rsid w:val="00765244"/>
    <w:rsid w:val="007727AA"/>
    <w:rsid w:val="00773E76"/>
    <w:rsid w:val="00775415"/>
    <w:rsid w:val="007906C0"/>
    <w:rsid w:val="007926E6"/>
    <w:rsid w:val="00794477"/>
    <w:rsid w:val="00797B6D"/>
    <w:rsid w:val="007A2E9D"/>
    <w:rsid w:val="007B3EA5"/>
    <w:rsid w:val="007C3F58"/>
    <w:rsid w:val="007C6C0D"/>
    <w:rsid w:val="007C73B7"/>
    <w:rsid w:val="007D647C"/>
    <w:rsid w:val="007E0126"/>
    <w:rsid w:val="007E5F6B"/>
    <w:rsid w:val="008031EB"/>
    <w:rsid w:val="00805274"/>
    <w:rsid w:val="00811604"/>
    <w:rsid w:val="00811ACD"/>
    <w:rsid w:val="00814F7C"/>
    <w:rsid w:val="0081569A"/>
    <w:rsid w:val="00821F63"/>
    <w:rsid w:val="00822F70"/>
    <w:rsid w:val="008232FD"/>
    <w:rsid w:val="00825780"/>
    <w:rsid w:val="008317CF"/>
    <w:rsid w:val="0084147F"/>
    <w:rsid w:val="0084235B"/>
    <w:rsid w:val="008459BD"/>
    <w:rsid w:val="00846798"/>
    <w:rsid w:val="008467CA"/>
    <w:rsid w:val="0085274A"/>
    <w:rsid w:val="008529A0"/>
    <w:rsid w:val="008716F4"/>
    <w:rsid w:val="00871C43"/>
    <w:rsid w:val="00877218"/>
    <w:rsid w:val="00882419"/>
    <w:rsid w:val="008871D3"/>
    <w:rsid w:val="008901FC"/>
    <w:rsid w:val="008923E0"/>
    <w:rsid w:val="00892876"/>
    <w:rsid w:val="008A629E"/>
    <w:rsid w:val="008B0DFE"/>
    <w:rsid w:val="008B3292"/>
    <w:rsid w:val="008B7726"/>
    <w:rsid w:val="008C0CB3"/>
    <w:rsid w:val="008C1DBB"/>
    <w:rsid w:val="008D165A"/>
    <w:rsid w:val="008D39EC"/>
    <w:rsid w:val="008E5023"/>
    <w:rsid w:val="008F6423"/>
    <w:rsid w:val="009113DF"/>
    <w:rsid w:val="009139E5"/>
    <w:rsid w:val="00920C0C"/>
    <w:rsid w:val="00921737"/>
    <w:rsid w:val="009337E6"/>
    <w:rsid w:val="00935143"/>
    <w:rsid w:val="009365A8"/>
    <w:rsid w:val="00937C29"/>
    <w:rsid w:val="00942D2E"/>
    <w:rsid w:val="009444C7"/>
    <w:rsid w:val="00946105"/>
    <w:rsid w:val="009463CC"/>
    <w:rsid w:val="009471FD"/>
    <w:rsid w:val="009514C0"/>
    <w:rsid w:val="00953195"/>
    <w:rsid w:val="0095681C"/>
    <w:rsid w:val="00961A6B"/>
    <w:rsid w:val="009642D1"/>
    <w:rsid w:val="00973E5D"/>
    <w:rsid w:val="00980270"/>
    <w:rsid w:val="00986FD1"/>
    <w:rsid w:val="00992B95"/>
    <w:rsid w:val="009A4AFA"/>
    <w:rsid w:val="009B255D"/>
    <w:rsid w:val="009B6820"/>
    <w:rsid w:val="009C1E0B"/>
    <w:rsid w:val="009C20CC"/>
    <w:rsid w:val="009C550B"/>
    <w:rsid w:val="009D4D7E"/>
    <w:rsid w:val="009D748F"/>
    <w:rsid w:val="009E1966"/>
    <w:rsid w:val="009E2991"/>
    <w:rsid w:val="009E38E3"/>
    <w:rsid w:val="009F590D"/>
    <w:rsid w:val="009F5992"/>
    <w:rsid w:val="00A017A2"/>
    <w:rsid w:val="00A02ACF"/>
    <w:rsid w:val="00A14A29"/>
    <w:rsid w:val="00A20A68"/>
    <w:rsid w:val="00A34A77"/>
    <w:rsid w:val="00A37725"/>
    <w:rsid w:val="00A4129C"/>
    <w:rsid w:val="00A413D3"/>
    <w:rsid w:val="00A4190A"/>
    <w:rsid w:val="00A51189"/>
    <w:rsid w:val="00A545E4"/>
    <w:rsid w:val="00A54DB9"/>
    <w:rsid w:val="00A56FD8"/>
    <w:rsid w:val="00A57F17"/>
    <w:rsid w:val="00A6082A"/>
    <w:rsid w:val="00A62459"/>
    <w:rsid w:val="00A73DC5"/>
    <w:rsid w:val="00A838C4"/>
    <w:rsid w:val="00A83A2C"/>
    <w:rsid w:val="00A920F9"/>
    <w:rsid w:val="00A938A5"/>
    <w:rsid w:val="00A97C50"/>
    <w:rsid w:val="00AA379E"/>
    <w:rsid w:val="00AA4432"/>
    <w:rsid w:val="00AA4FA2"/>
    <w:rsid w:val="00AA5278"/>
    <w:rsid w:val="00AA5FA8"/>
    <w:rsid w:val="00AC01A7"/>
    <w:rsid w:val="00AC3582"/>
    <w:rsid w:val="00AD1AEB"/>
    <w:rsid w:val="00AD6251"/>
    <w:rsid w:val="00AD7AF4"/>
    <w:rsid w:val="00AE0D78"/>
    <w:rsid w:val="00AE3E89"/>
    <w:rsid w:val="00AE591B"/>
    <w:rsid w:val="00AE6803"/>
    <w:rsid w:val="00AF2571"/>
    <w:rsid w:val="00AF61A6"/>
    <w:rsid w:val="00B01977"/>
    <w:rsid w:val="00B03936"/>
    <w:rsid w:val="00B05FCB"/>
    <w:rsid w:val="00B122D4"/>
    <w:rsid w:val="00B12FF2"/>
    <w:rsid w:val="00B2071A"/>
    <w:rsid w:val="00B2395E"/>
    <w:rsid w:val="00B26D5A"/>
    <w:rsid w:val="00B302DB"/>
    <w:rsid w:val="00B40980"/>
    <w:rsid w:val="00B47011"/>
    <w:rsid w:val="00B477D7"/>
    <w:rsid w:val="00B47BC7"/>
    <w:rsid w:val="00B5264B"/>
    <w:rsid w:val="00B53255"/>
    <w:rsid w:val="00B55369"/>
    <w:rsid w:val="00B566FE"/>
    <w:rsid w:val="00B60633"/>
    <w:rsid w:val="00B66448"/>
    <w:rsid w:val="00B749DF"/>
    <w:rsid w:val="00B763A8"/>
    <w:rsid w:val="00B81FB8"/>
    <w:rsid w:val="00B945B9"/>
    <w:rsid w:val="00B945C0"/>
    <w:rsid w:val="00B96784"/>
    <w:rsid w:val="00BB19C1"/>
    <w:rsid w:val="00BB7358"/>
    <w:rsid w:val="00BC6929"/>
    <w:rsid w:val="00BD7CE9"/>
    <w:rsid w:val="00BD7E51"/>
    <w:rsid w:val="00BE3C76"/>
    <w:rsid w:val="00BE412D"/>
    <w:rsid w:val="00BE5970"/>
    <w:rsid w:val="00BE6B4D"/>
    <w:rsid w:val="00BE7DFC"/>
    <w:rsid w:val="00BF1031"/>
    <w:rsid w:val="00C00C29"/>
    <w:rsid w:val="00C07BF0"/>
    <w:rsid w:val="00C1112B"/>
    <w:rsid w:val="00C1151C"/>
    <w:rsid w:val="00C15664"/>
    <w:rsid w:val="00C23D82"/>
    <w:rsid w:val="00C31697"/>
    <w:rsid w:val="00C31776"/>
    <w:rsid w:val="00C41C8E"/>
    <w:rsid w:val="00C47B7C"/>
    <w:rsid w:val="00C6084D"/>
    <w:rsid w:val="00C61B66"/>
    <w:rsid w:val="00C6414D"/>
    <w:rsid w:val="00C6669F"/>
    <w:rsid w:val="00C67EBF"/>
    <w:rsid w:val="00C706D4"/>
    <w:rsid w:val="00C7417C"/>
    <w:rsid w:val="00C82AEE"/>
    <w:rsid w:val="00C86072"/>
    <w:rsid w:val="00C940F5"/>
    <w:rsid w:val="00C958F5"/>
    <w:rsid w:val="00C96061"/>
    <w:rsid w:val="00CA773F"/>
    <w:rsid w:val="00CA77AA"/>
    <w:rsid w:val="00CB2987"/>
    <w:rsid w:val="00CB33ED"/>
    <w:rsid w:val="00CB36BE"/>
    <w:rsid w:val="00CC2A43"/>
    <w:rsid w:val="00CC64E8"/>
    <w:rsid w:val="00CE5F87"/>
    <w:rsid w:val="00CF2EA9"/>
    <w:rsid w:val="00CF5941"/>
    <w:rsid w:val="00D005E2"/>
    <w:rsid w:val="00D03695"/>
    <w:rsid w:val="00D13ECF"/>
    <w:rsid w:val="00D14A0E"/>
    <w:rsid w:val="00D159FE"/>
    <w:rsid w:val="00D2160A"/>
    <w:rsid w:val="00D21D97"/>
    <w:rsid w:val="00D22968"/>
    <w:rsid w:val="00D25C08"/>
    <w:rsid w:val="00D31D50"/>
    <w:rsid w:val="00D32130"/>
    <w:rsid w:val="00D3751E"/>
    <w:rsid w:val="00D5072A"/>
    <w:rsid w:val="00D50A80"/>
    <w:rsid w:val="00D50C6C"/>
    <w:rsid w:val="00D53382"/>
    <w:rsid w:val="00D61593"/>
    <w:rsid w:val="00D621E2"/>
    <w:rsid w:val="00D63198"/>
    <w:rsid w:val="00D67371"/>
    <w:rsid w:val="00D6790F"/>
    <w:rsid w:val="00D76262"/>
    <w:rsid w:val="00D806C7"/>
    <w:rsid w:val="00D9203B"/>
    <w:rsid w:val="00DA2442"/>
    <w:rsid w:val="00DA2DC6"/>
    <w:rsid w:val="00DA3C51"/>
    <w:rsid w:val="00DB7CE8"/>
    <w:rsid w:val="00DC08BC"/>
    <w:rsid w:val="00DC2267"/>
    <w:rsid w:val="00DD6336"/>
    <w:rsid w:val="00DE69DB"/>
    <w:rsid w:val="00DF0A48"/>
    <w:rsid w:val="00DF25E9"/>
    <w:rsid w:val="00E02BF7"/>
    <w:rsid w:val="00E21901"/>
    <w:rsid w:val="00E27643"/>
    <w:rsid w:val="00E27D6D"/>
    <w:rsid w:val="00E513A4"/>
    <w:rsid w:val="00E52CB9"/>
    <w:rsid w:val="00E6628E"/>
    <w:rsid w:val="00E71023"/>
    <w:rsid w:val="00E71D2C"/>
    <w:rsid w:val="00E776C6"/>
    <w:rsid w:val="00E846C1"/>
    <w:rsid w:val="00E84AE8"/>
    <w:rsid w:val="00E916EA"/>
    <w:rsid w:val="00EA2558"/>
    <w:rsid w:val="00EA7B5E"/>
    <w:rsid w:val="00EB1983"/>
    <w:rsid w:val="00EB431C"/>
    <w:rsid w:val="00EB7BF9"/>
    <w:rsid w:val="00EB7EA5"/>
    <w:rsid w:val="00EC3E84"/>
    <w:rsid w:val="00EC4A4C"/>
    <w:rsid w:val="00EC72C5"/>
    <w:rsid w:val="00ED20FE"/>
    <w:rsid w:val="00EE4AF9"/>
    <w:rsid w:val="00EE5DAF"/>
    <w:rsid w:val="00F00FAF"/>
    <w:rsid w:val="00F026BE"/>
    <w:rsid w:val="00F02F76"/>
    <w:rsid w:val="00F14BC7"/>
    <w:rsid w:val="00F25B54"/>
    <w:rsid w:val="00F27F1F"/>
    <w:rsid w:val="00F37D73"/>
    <w:rsid w:val="00F46117"/>
    <w:rsid w:val="00F47C6C"/>
    <w:rsid w:val="00F641E7"/>
    <w:rsid w:val="00F74EF4"/>
    <w:rsid w:val="00FA6E41"/>
    <w:rsid w:val="00FA7547"/>
    <w:rsid w:val="00FB083E"/>
    <w:rsid w:val="00FB4452"/>
    <w:rsid w:val="00FB7141"/>
    <w:rsid w:val="00FC1A5B"/>
    <w:rsid w:val="00FD1B12"/>
    <w:rsid w:val="00FD1FBA"/>
    <w:rsid w:val="00FE0671"/>
    <w:rsid w:val="00FE6E62"/>
    <w:rsid w:val="00FF5DD7"/>
    <w:rsid w:val="00FF7B2C"/>
    <w:rsid w:val="01393763"/>
    <w:rsid w:val="017F76B3"/>
    <w:rsid w:val="018A3831"/>
    <w:rsid w:val="01A639A7"/>
    <w:rsid w:val="01BE62F7"/>
    <w:rsid w:val="01D448C4"/>
    <w:rsid w:val="0290731C"/>
    <w:rsid w:val="02FD47DB"/>
    <w:rsid w:val="03411163"/>
    <w:rsid w:val="03746A77"/>
    <w:rsid w:val="039360FE"/>
    <w:rsid w:val="03C177FD"/>
    <w:rsid w:val="03EF00D0"/>
    <w:rsid w:val="03F57073"/>
    <w:rsid w:val="0419697D"/>
    <w:rsid w:val="04381749"/>
    <w:rsid w:val="044F5F20"/>
    <w:rsid w:val="04A45D86"/>
    <w:rsid w:val="04DE651A"/>
    <w:rsid w:val="04E00808"/>
    <w:rsid w:val="04FE3FBD"/>
    <w:rsid w:val="0508083C"/>
    <w:rsid w:val="05E267C6"/>
    <w:rsid w:val="061C2B3D"/>
    <w:rsid w:val="06552790"/>
    <w:rsid w:val="06882470"/>
    <w:rsid w:val="06A333B5"/>
    <w:rsid w:val="06A57989"/>
    <w:rsid w:val="06FC7729"/>
    <w:rsid w:val="073B548C"/>
    <w:rsid w:val="077066C9"/>
    <w:rsid w:val="078543D8"/>
    <w:rsid w:val="07A751D5"/>
    <w:rsid w:val="08112740"/>
    <w:rsid w:val="08913A6B"/>
    <w:rsid w:val="089D64CD"/>
    <w:rsid w:val="09232EED"/>
    <w:rsid w:val="093B1A33"/>
    <w:rsid w:val="095C5EF2"/>
    <w:rsid w:val="09C11FBF"/>
    <w:rsid w:val="09EB6595"/>
    <w:rsid w:val="0ACF17E4"/>
    <w:rsid w:val="0AD173A0"/>
    <w:rsid w:val="0AD43739"/>
    <w:rsid w:val="0B113071"/>
    <w:rsid w:val="0B823C62"/>
    <w:rsid w:val="0C2315F0"/>
    <w:rsid w:val="0C6F2D84"/>
    <w:rsid w:val="0C6F67A5"/>
    <w:rsid w:val="0D264EED"/>
    <w:rsid w:val="0D790806"/>
    <w:rsid w:val="0DA61D0B"/>
    <w:rsid w:val="0DCA39E1"/>
    <w:rsid w:val="0E2C324A"/>
    <w:rsid w:val="0E6012B0"/>
    <w:rsid w:val="0FA85047"/>
    <w:rsid w:val="0FBA42CB"/>
    <w:rsid w:val="0FDF1D5B"/>
    <w:rsid w:val="0FEF61F9"/>
    <w:rsid w:val="0FFA5C11"/>
    <w:rsid w:val="10726DCD"/>
    <w:rsid w:val="10820FA0"/>
    <w:rsid w:val="109F36B6"/>
    <w:rsid w:val="10BD61B8"/>
    <w:rsid w:val="11BD3043"/>
    <w:rsid w:val="11C10596"/>
    <w:rsid w:val="11E3606D"/>
    <w:rsid w:val="12417AE3"/>
    <w:rsid w:val="124212DB"/>
    <w:rsid w:val="1243130B"/>
    <w:rsid w:val="12911862"/>
    <w:rsid w:val="1297068A"/>
    <w:rsid w:val="12AA2B51"/>
    <w:rsid w:val="12DC4225"/>
    <w:rsid w:val="13745084"/>
    <w:rsid w:val="13A605B8"/>
    <w:rsid w:val="13AF1221"/>
    <w:rsid w:val="13BB4AF8"/>
    <w:rsid w:val="13F96D42"/>
    <w:rsid w:val="141F43ED"/>
    <w:rsid w:val="14CA61D5"/>
    <w:rsid w:val="150C2C94"/>
    <w:rsid w:val="15623052"/>
    <w:rsid w:val="15883B66"/>
    <w:rsid w:val="16240156"/>
    <w:rsid w:val="17180B18"/>
    <w:rsid w:val="17537932"/>
    <w:rsid w:val="17586139"/>
    <w:rsid w:val="183C709E"/>
    <w:rsid w:val="185A552F"/>
    <w:rsid w:val="18F367BD"/>
    <w:rsid w:val="196F1FE5"/>
    <w:rsid w:val="1AD12651"/>
    <w:rsid w:val="1B3104FA"/>
    <w:rsid w:val="1B7D33C6"/>
    <w:rsid w:val="1B9041AC"/>
    <w:rsid w:val="1C11339A"/>
    <w:rsid w:val="1C2A7FD0"/>
    <w:rsid w:val="1C413D98"/>
    <w:rsid w:val="1D870000"/>
    <w:rsid w:val="1D987D81"/>
    <w:rsid w:val="1DCB7D36"/>
    <w:rsid w:val="1DD612B2"/>
    <w:rsid w:val="1DE75E79"/>
    <w:rsid w:val="1E1500C0"/>
    <w:rsid w:val="1E6C2E24"/>
    <w:rsid w:val="1EA603F1"/>
    <w:rsid w:val="1EB14121"/>
    <w:rsid w:val="1EE24822"/>
    <w:rsid w:val="1F422BFC"/>
    <w:rsid w:val="1F45663C"/>
    <w:rsid w:val="1FBC27E4"/>
    <w:rsid w:val="1FC52D36"/>
    <w:rsid w:val="204F1AFA"/>
    <w:rsid w:val="20654A58"/>
    <w:rsid w:val="20E73095"/>
    <w:rsid w:val="20F42F76"/>
    <w:rsid w:val="2168340E"/>
    <w:rsid w:val="21832DBC"/>
    <w:rsid w:val="21AC071E"/>
    <w:rsid w:val="21D033F7"/>
    <w:rsid w:val="223E553F"/>
    <w:rsid w:val="225F799C"/>
    <w:rsid w:val="22D64088"/>
    <w:rsid w:val="22DD6CD7"/>
    <w:rsid w:val="22E212BD"/>
    <w:rsid w:val="233F17E5"/>
    <w:rsid w:val="236B59F9"/>
    <w:rsid w:val="23B81846"/>
    <w:rsid w:val="23FA68AA"/>
    <w:rsid w:val="24A73FA5"/>
    <w:rsid w:val="253A6715"/>
    <w:rsid w:val="255047F4"/>
    <w:rsid w:val="257B4D00"/>
    <w:rsid w:val="259D0AB2"/>
    <w:rsid w:val="25B75DEE"/>
    <w:rsid w:val="266C42BE"/>
    <w:rsid w:val="267F0D77"/>
    <w:rsid w:val="26C03DEA"/>
    <w:rsid w:val="26DC5A14"/>
    <w:rsid w:val="27564148"/>
    <w:rsid w:val="276D4D51"/>
    <w:rsid w:val="279616A7"/>
    <w:rsid w:val="27F156AA"/>
    <w:rsid w:val="27FC0FD1"/>
    <w:rsid w:val="280242DE"/>
    <w:rsid w:val="281001D5"/>
    <w:rsid w:val="28E8650B"/>
    <w:rsid w:val="28FA7FD3"/>
    <w:rsid w:val="290A409C"/>
    <w:rsid w:val="290B7108"/>
    <w:rsid w:val="29161DF5"/>
    <w:rsid w:val="29267D77"/>
    <w:rsid w:val="296C01E4"/>
    <w:rsid w:val="29784D7A"/>
    <w:rsid w:val="29A451D0"/>
    <w:rsid w:val="2A62066E"/>
    <w:rsid w:val="2AAF7196"/>
    <w:rsid w:val="2AC72197"/>
    <w:rsid w:val="2AFF01D9"/>
    <w:rsid w:val="2B3D4CCD"/>
    <w:rsid w:val="2B442EEF"/>
    <w:rsid w:val="2B8F0911"/>
    <w:rsid w:val="2B915667"/>
    <w:rsid w:val="2B9F31A4"/>
    <w:rsid w:val="2BBC60A8"/>
    <w:rsid w:val="2C1C1F31"/>
    <w:rsid w:val="2C6706FF"/>
    <w:rsid w:val="2C8910DE"/>
    <w:rsid w:val="2D322830"/>
    <w:rsid w:val="2D663464"/>
    <w:rsid w:val="2D7F32AC"/>
    <w:rsid w:val="2D926B72"/>
    <w:rsid w:val="2DF17641"/>
    <w:rsid w:val="2E804902"/>
    <w:rsid w:val="2EA46C7C"/>
    <w:rsid w:val="2F0D1563"/>
    <w:rsid w:val="2F8C1B08"/>
    <w:rsid w:val="2FAC3848"/>
    <w:rsid w:val="301B68D5"/>
    <w:rsid w:val="30285C17"/>
    <w:rsid w:val="302E7618"/>
    <w:rsid w:val="30584DCF"/>
    <w:rsid w:val="307C0BDE"/>
    <w:rsid w:val="31103DA0"/>
    <w:rsid w:val="31C45F31"/>
    <w:rsid w:val="31E00355"/>
    <w:rsid w:val="326A764F"/>
    <w:rsid w:val="32A555F2"/>
    <w:rsid w:val="32DA6D7E"/>
    <w:rsid w:val="32FE062A"/>
    <w:rsid w:val="33556674"/>
    <w:rsid w:val="33C33478"/>
    <w:rsid w:val="33C85973"/>
    <w:rsid w:val="3400213B"/>
    <w:rsid w:val="348C4338"/>
    <w:rsid w:val="34AF0A1B"/>
    <w:rsid w:val="34BD0F97"/>
    <w:rsid w:val="34F2489A"/>
    <w:rsid w:val="351A559A"/>
    <w:rsid w:val="35282AA2"/>
    <w:rsid w:val="353B0F46"/>
    <w:rsid w:val="353C33B7"/>
    <w:rsid w:val="354D2B04"/>
    <w:rsid w:val="35A820B1"/>
    <w:rsid w:val="360D73E9"/>
    <w:rsid w:val="369474B6"/>
    <w:rsid w:val="36B86FCF"/>
    <w:rsid w:val="36D157A6"/>
    <w:rsid w:val="36EE4DB9"/>
    <w:rsid w:val="36FB0E83"/>
    <w:rsid w:val="381F2BF7"/>
    <w:rsid w:val="384C7331"/>
    <w:rsid w:val="38881557"/>
    <w:rsid w:val="38996991"/>
    <w:rsid w:val="38AD1CC7"/>
    <w:rsid w:val="38E61EB4"/>
    <w:rsid w:val="38EE23E3"/>
    <w:rsid w:val="39177A96"/>
    <w:rsid w:val="394A2E18"/>
    <w:rsid w:val="395A6BE4"/>
    <w:rsid w:val="395E4069"/>
    <w:rsid w:val="39732D96"/>
    <w:rsid w:val="3984488C"/>
    <w:rsid w:val="39DB6473"/>
    <w:rsid w:val="3A691280"/>
    <w:rsid w:val="3A807C34"/>
    <w:rsid w:val="3AD46594"/>
    <w:rsid w:val="3B2F2B9C"/>
    <w:rsid w:val="3B3D0A8D"/>
    <w:rsid w:val="3B5A1EF5"/>
    <w:rsid w:val="3BA02E0E"/>
    <w:rsid w:val="3BAE21C4"/>
    <w:rsid w:val="3BE91DF8"/>
    <w:rsid w:val="3C446931"/>
    <w:rsid w:val="3C4C55DB"/>
    <w:rsid w:val="3C54522A"/>
    <w:rsid w:val="3D234677"/>
    <w:rsid w:val="3D762E0C"/>
    <w:rsid w:val="3D7774D9"/>
    <w:rsid w:val="3DAA27C8"/>
    <w:rsid w:val="3DEC176D"/>
    <w:rsid w:val="3E547A59"/>
    <w:rsid w:val="3ECA2935"/>
    <w:rsid w:val="3EF71B39"/>
    <w:rsid w:val="3F00255E"/>
    <w:rsid w:val="3F071DCF"/>
    <w:rsid w:val="3F5B6B0E"/>
    <w:rsid w:val="3FA24EA5"/>
    <w:rsid w:val="3FCF6CE3"/>
    <w:rsid w:val="3FF30013"/>
    <w:rsid w:val="3FFA65F7"/>
    <w:rsid w:val="40051BC0"/>
    <w:rsid w:val="40504FF8"/>
    <w:rsid w:val="40A83F7A"/>
    <w:rsid w:val="40B01FE3"/>
    <w:rsid w:val="40BA3EAE"/>
    <w:rsid w:val="40CA7670"/>
    <w:rsid w:val="41683E25"/>
    <w:rsid w:val="417A75D7"/>
    <w:rsid w:val="42116896"/>
    <w:rsid w:val="42F140CD"/>
    <w:rsid w:val="42F855A4"/>
    <w:rsid w:val="433A5AEF"/>
    <w:rsid w:val="43A5280C"/>
    <w:rsid w:val="43C65164"/>
    <w:rsid w:val="43F90B2E"/>
    <w:rsid w:val="44722221"/>
    <w:rsid w:val="4488657F"/>
    <w:rsid w:val="44A24101"/>
    <w:rsid w:val="44A57A08"/>
    <w:rsid w:val="44A667B8"/>
    <w:rsid w:val="44D47333"/>
    <w:rsid w:val="450C6FF5"/>
    <w:rsid w:val="451E1601"/>
    <w:rsid w:val="455A76CE"/>
    <w:rsid w:val="45BB769D"/>
    <w:rsid w:val="45F67207"/>
    <w:rsid w:val="462072AB"/>
    <w:rsid w:val="4650787E"/>
    <w:rsid w:val="465D6D49"/>
    <w:rsid w:val="467C0B5E"/>
    <w:rsid w:val="46900EC6"/>
    <w:rsid w:val="46C127CB"/>
    <w:rsid w:val="46C4729F"/>
    <w:rsid w:val="46F11C32"/>
    <w:rsid w:val="470556B9"/>
    <w:rsid w:val="4756665B"/>
    <w:rsid w:val="47D84EF8"/>
    <w:rsid w:val="47E45A68"/>
    <w:rsid w:val="482243BD"/>
    <w:rsid w:val="48430FD3"/>
    <w:rsid w:val="48726F34"/>
    <w:rsid w:val="4880281F"/>
    <w:rsid w:val="48836984"/>
    <w:rsid w:val="489C0EA7"/>
    <w:rsid w:val="490467BE"/>
    <w:rsid w:val="49485114"/>
    <w:rsid w:val="494B2FEB"/>
    <w:rsid w:val="49527202"/>
    <w:rsid w:val="495434C1"/>
    <w:rsid w:val="49550AEC"/>
    <w:rsid w:val="49AF2A8C"/>
    <w:rsid w:val="49B75309"/>
    <w:rsid w:val="49BE46C4"/>
    <w:rsid w:val="49C751CE"/>
    <w:rsid w:val="49D15E7F"/>
    <w:rsid w:val="4A0F5F0A"/>
    <w:rsid w:val="4A556B25"/>
    <w:rsid w:val="4A7B2023"/>
    <w:rsid w:val="4AAA16A4"/>
    <w:rsid w:val="4ABC28C0"/>
    <w:rsid w:val="4ADA34A9"/>
    <w:rsid w:val="4ADE7AA0"/>
    <w:rsid w:val="4AF934E8"/>
    <w:rsid w:val="4B3014C3"/>
    <w:rsid w:val="4B415B88"/>
    <w:rsid w:val="4B8E37D3"/>
    <w:rsid w:val="4BA80609"/>
    <w:rsid w:val="4BD236D3"/>
    <w:rsid w:val="4C0B2377"/>
    <w:rsid w:val="4C125B4E"/>
    <w:rsid w:val="4C1311A1"/>
    <w:rsid w:val="4C4539CA"/>
    <w:rsid w:val="4C4D6A5A"/>
    <w:rsid w:val="4C7D7C74"/>
    <w:rsid w:val="4C9359B0"/>
    <w:rsid w:val="4C97762F"/>
    <w:rsid w:val="4CBF24F6"/>
    <w:rsid w:val="4D0E33FC"/>
    <w:rsid w:val="4D61388D"/>
    <w:rsid w:val="4D8E4DB9"/>
    <w:rsid w:val="4DA93259"/>
    <w:rsid w:val="4DAB3428"/>
    <w:rsid w:val="4DB812B9"/>
    <w:rsid w:val="4E484B7E"/>
    <w:rsid w:val="4E54519A"/>
    <w:rsid w:val="4EA91609"/>
    <w:rsid w:val="4EAB13BB"/>
    <w:rsid w:val="4EAF0F1E"/>
    <w:rsid w:val="4EBF1A1C"/>
    <w:rsid w:val="4FA01B7D"/>
    <w:rsid w:val="502F2D23"/>
    <w:rsid w:val="503D1529"/>
    <w:rsid w:val="50880224"/>
    <w:rsid w:val="509B12F5"/>
    <w:rsid w:val="509E4C1E"/>
    <w:rsid w:val="50D554B0"/>
    <w:rsid w:val="50FB57EE"/>
    <w:rsid w:val="5178428A"/>
    <w:rsid w:val="517F5B3F"/>
    <w:rsid w:val="51C60089"/>
    <w:rsid w:val="51CE7F13"/>
    <w:rsid w:val="52127597"/>
    <w:rsid w:val="52D84187"/>
    <w:rsid w:val="5301735B"/>
    <w:rsid w:val="539C3660"/>
    <w:rsid w:val="53BA4EA2"/>
    <w:rsid w:val="55420CD2"/>
    <w:rsid w:val="55525048"/>
    <w:rsid w:val="558A3C40"/>
    <w:rsid w:val="55A70809"/>
    <w:rsid w:val="55BA7063"/>
    <w:rsid w:val="55DF4B63"/>
    <w:rsid w:val="55E165A1"/>
    <w:rsid w:val="56123842"/>
    <w:rsid w:val="566D7DF0"/>
    <w:rsid w:val="567354E1"/>
    <w:rsid w:val="56F5572B"/>
    <w:rsid w:val="57F5696B"/>
    <w:rsid w:val="581C21E0"/>
    <w:rsid w:val="58290CB6"/>
    <w:rsid w:val="58813143"/>
    <w:rsid w:val="588D25F0"/>
    <w:rsid w:val="5892447B"/>
    <w:rsid w:val="58A32DD6"/>
    <w:rsid w:val="591A1595"/>
    <w:rsid w:val="594A1DEC"/>
    <w:rsid w:val="596B5856"/>
    <w:rsid w:val="5A0D1F5A"/>
    <w:rsid w:val="5A1A5A1B"/>
    <w:rsid w:val="5AC04163"/>
    <w:rsid w:val="5AD157F9"/>
    <w:rsid w:val="5B206B43"/>
    <w:rsid w:val="5B542344"/>
    <w:rsid w:val="5B6E1CD4"/>
    <w:rsid w:val="5B857491"/>
    <w:rsid w:val="5BC93FB7"/>
    <w:rsid w:val="5BD31D31"/>
    <w:rsid w:val="5BD562BD"/>
    <w:rsid w:val="5C2C4758"/>
    <w:rsid w:val="5C5A2540"/>
    <w:rsid w:val="5CA046F7"/>
    <w:rsid w:val="5CA05E20"/>
    <w:rsid w:val="5E3A4B4F"/>
    <w:rsid w:val="5E3B794F"/>
    <w:rsid w:val="5EFF1BA9"/>
    <w:rsid w:val="5F005B23"/>
    <w:rsid w:val="5F02641C"/>
    <w:rsid w:val="5F0D3662"/>
    <w:rsid w:val="5F4849B4"/>
    <w:rsid w:val="5F87276C"/>
    <w:rsid w:val="5FDD0DD7"/>
    <w:rsid w:val="5FE813E6"/>
    <w:rsid w:val="60026D23"/>
    <w:rsid w:val="601C7E26"/>
    <w:rsid w:val="602172C9"/>
    <w:rsid w:val="60AE5FF1"/>
    <w:rsid w:val="60B17DAF"/>
    <w:rsid w:val="620030A3"/>
    <w:rsid w:val="621D4765"/>
    <w:rsid w:val="622F3590"/>
    <w:rsid w:val="623A15B0"/>
    <w:rsid w:val="624F7A50"/>
    <w:rsid w:val="625979FD"/>
    <w:rsid w:val="62C25235"/>
    <w:rsid w:val="62F24993"/>
    <w:rsid w:val="630E6978"/>
    <w:rsid w:val="63146E4B"/>
    <w:rsid w:val="639D7C0B"/>
    <w:rsid w:val="63B96451"/>
    <w:rsid w:val="64157A70"/>
    <w:rsid w:val="643A5D2F"/>
    <w:rsid w:val="646A0297"/>
    <w:rsid w:val="65683447"/>
    <w:rsid w:val="656E3929"/>
    <w:rsid w:val="65755CF9"/>
    <w:rsid w:val="65FF0AF3"/>
    <w:rsid w:val="66383CB2"/>
    <w:rsid w:val="666224E7"/>
    <w:rsid w:val="666B29CC"/>
    <w:rsid w:val="66710802"/>
    <w:rsid w:val="66943021"/>
    <w:rsid w:val="66A0228C"/>
    <w:rsid w:val="67486A49"/>
    <w:rsid w:val="674B372D"/>
    <w:rsid w:val="67BA1EF4"/>
    <w:rsid w:val="68630B98"/>
    <w:rsid w:val="68D60671"/>
    <w:rsid w:val="68EA343A"/>
    <w:rsid w:val="69111728"/>
    <w:rsid w:val="695244AE"/>
    <w:rsid w:val="69AE1714"/>
    <w:rsid w:val="69C21AC9"/>
    <w:rsid w:val="6A2151E2"/>
    <w:rsid w:val="6A38178D"/>
    <w:rsid w:val="6B02409F"/>
    <w:rsid w:val="6B2158C4"/>
    <w:rsid w:val="6B231E01"/>
    <w:rsid w:val="6BA91AE4"/>
    <w:rsid w:val="6BC77FB1"/>
    <w:rsid w:val="6BD316DA"/>
    <w:rsid w:val="6C4C14AB"/>
    <w:rsid w:val="6C673BDB"/>
    <w:rsid w:val="6CD55B60"/>
    <w:rsid w:val="6CEE0D14"/>
    <w:rsid w:val="6CF243A8"/>
    <w:rsid w:val="6D804B39"/>
    <w:rsid w:val="6D88299E"/>
    <w:rsid w:val="6DAC189B"/>
    <w:rsid w:val="6E2501AA"/>
    <w:rsid w:val="6E2B0CCE"/>
    <w:rsid w:val="6E5E5E0D"/>
    <w:rsid w:val="6F2A128E"/>
    <w:rsid w:val="703A0324"/>
    <w:rsid w:val="70572CD1"/>
    <w:rsid w:val="706F1992"/>
    <w:rsid w:val="70994C08"/>
    <w:rsid w:val="70C87D00"/>
    <w:rsid w:val="70EF351B"/>
    <w:rsid w:val="71621107"/>
    <w:rsid w:val="71BB7E97"/>
    <w:rsid w:val="723547A8"/>
    <w:rsid w:val="723A5766"/>
    <w:rsid w:val="730F5C2B"/>
    <w:rsid w:val="73790944"/>
    <w:rsid w:val="73BD7120"/>
    <w:rsid w:val="73DB4443"/>
    <w:rsid w:val="73EA4CEE"/>
    <w:rsid w:val="73FB4661"/>
    <w:rsid w:val="746E611E"/>
    <w:rsid w:val="746E7AA1"/>
    <w:rsid w:val="74705D5F"/>
    <w:rsid w:val="75503C76"/>
    <w:rsid w:val="758F136C"/>
    <w:rsid w:val="76101424"/>
    <w:rsid w:val="76172CF3"/>
    <w:rsid w:val="761956F6"/>
    <w:rsid w:val="76D10B7A"/>
    <w:rsid w:val="77175ACA"/>
    <w:rsid w:val="776F2A82"/>
    <w:rsid w:val="777247F2"/>
    <w:rsid w:val="780664D6"/>
    <w:rsid w:val="78394267"/>
    <w:rsid w:val="783F2ADD"/>
    <w:rsid w:val="795571F6"/>
    <w:rsid w:val="79BB6B60"/>
    <w:rsid w:val="7A130108"/>
    <w:rsid w:val="7A29234D"/>
    <w:rsid w:val="7A6434E8"/>
    <w:rsid w:val="7A7B52BF"/>
    <w:rsid w:val="7A815B32"/>
    <w:rsid w:val="7AAB318C"/>
    <w:rsid w:val="7AAC2766"/>
    <w:rsid w:val="7AC94A38"/>
    <w:rsid w:val="7ACC4DE1"/>
    <w:rsid w:val="7AEE6CC6"/>
    <w:rsid w:val="7B5D0C19"/>
    <w:rsid w:val="7C46589C"/>
    <w:rsid w:val="7CF36955"/>
    <w:rsid w:val="7D3947A6"/>
    <w:rsid w:val="7D611C91"/>
    <w:rsid w:val="7D637D86"/>
    <w:rsid w:val="7DAA16AC"/>
    <w:rsid w:val="7E674154"/>
    <w:rsid w:val="7E775FBE"/>
    <w:rsid w:val="7F163156"/>
    <w:rsid w:val="7F8F76CB"/>
    <w:rsid w:val="7FA3591C"/>
    <w:rsid w:val="7FC1649E"/>
    <w:rsid w:val="7FCC171D"/>
    <w:rsid w:val="7FDA597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qFormat="1" w:unhideWhenUsed="0" w:uiPriority="0"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sz w:val="22"/>
      <w:szCs w:val="22"/>
      <w:lang w:val="en-US" w:eastAsia="zh-CN" w:bidi="ar-SA"/>
    </w:rPr>
  </w:style>
  <w:style w:type="paragraph" w:styleId="3">
    <w:name w:val="heading 1"/>
    <w:basedOn w:val="1"/>
    <w:next w:val="1"/>
    <w:link w:val="29"/>
    <w:qFormat/>
    <w:locked/>
    <w:uiPriority w:val="0"/>
    <w:pPr>
      <w:keepNext/>
      <w:keepLines/>
      <w:spacing w:before="340" w:after="330" w:line="578" w:lineRule="auto"/>
      <w:outlineLvl w:val="0"/>
    </w:pPr>
    <w:rPr>
      <w:rFonts w:eastAsia="宋体" w:cs="Times New Roman"/>
      <w:b/>
      <w:bCs/>
      <w:kern w:val="44"/>
      <w:sz w:val="44"/>
      <w:szCs w:val="44"/>
    </w:rPr>
  </w:style>
  <w:style w:type="paragraph" w:styleId="4">
    <w:name w:val="heading 2"/>
    <w:basedOn w:val="1"/>
    <w:next w:val="1"/>
    <w:link w:val="24"/>
    <w:qFormat/>
    <w:uiPriority w:val="0"/>
    <w:pPr>
      <w:keepNext/>
      <w:keepLines/>
      <w:widowControl w:val="0"/>
      <w:adjustRightInd/>
      <w:snapToGrid/>
      <w:spacing w:before="260" w:after="260" w:line="416" w:lineRule="auto"/>
      <w:jc w:val="both"/>
      <w:outlineLvl w:val="1"/>
    </w:pPr>
    <w:rPr>
      <w:rFonts w:ascii="Cambria" w:hAnsi="Cambria" w:eastAsia="宋体" w:cs="Times New Roman"/>
      <w:b/>
      <w:bCs/>
      <w:kern w:val="2"/>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Calibri" w:hAnsi="Calibri" w:cs="Times New Roman"/>
      <w:sz w:val="24"/>
      <w:szCs w:val="22"/>
      <w:lang w:val="zh-CN"/>
    </w:rPr>
  </w:style>
  <w:style w:type="paragraph" w:styleId="5">
    <w:name w:val="Document Map"/>
    <w:basedOn w:val="1"/>
    <w:link w:val="25"/>
    <w:semiHidden/>
    <w:qFormat/>
    <w:uiPriority w:val="99"/>
    <w:rPr>
      <w:rFonts w:ascii="宋体" w:eastAsia="宋体" w:cs="Times New Roman"/>
      <w:sz w:val="18"/>
      <w:szCs w:val="18"/>
    </w:rPr>
  </w:style>
  <w:style w:type="paragraph" w:styleId="6">
    <w:name w:val="Body Text"/>
    <w:basedOn w:val="1"/>
    <w:unhideWhenUsed/>
    <w:qFormat/>
    <w:uiPriority w:val="0"/>
    <w:pPr>
      <w:spacing w:line="360" w:lineRule="auto"/>
      <w:ind w:firstLine="1648"/>
    </w:pPr>
    <w:rPr>
      <w:rFonts w:ascii="Times New Roman" w:hAnsi="Times New Roman" w:cs="Times New Roman"/>
      <w:sz w:val="32"/>
      <w:szCs w:val="32"/>
    </w:rPr>
  </w:style>
  <w:style w:type="paragraph" w:styleId="7">
    <w:name w:val="toc 3"/>
    <w:basedOn w:val="1"/>
    <w:next w:val="1"/>
    <w:qFormat/>
    <w:locked/>
    <w:uiPriority w:val="0"/>
    <w:pPr>
      <w:ind w:left="840"/>
    </w:pPr>
  </w:style>
  <w:style w:type="paragraph" w:styleId="8">
    <w:name w:val="Date"/>
    <w:basedOn w:val="1"/>
    <w:next w:val="1"/>
    <w:link w:val="30"/>
    <w:unhideWhenUsed/>
    <w:qFormat/>
    <w:uiPriority w:val="0"/>
    <w:pPr>
      <w:ind w:left="100" w:leftChars="2500"/>
    </w:pPr>
    <w:rPr>
      <w:rFonts w:eastAsia="宋体" w:cs="Times New Roman"/>
    </w:rPr>
  </w:style>
  <w:style w:type="paragraph" w:styleId="9">
    <w:name w:val="Body Text Indent 2"/>
    <w:basedOn w:val="1"/>
    <w:link w:val="35"/>
    <w:semiHidden/>
    <w:unhideWhenUsed/>
    <w:qFormat/>
    <w:uiPriority w:val="0"/>
    <w:pPr>
      <w:spacing w:after="120" w:line="480" w:lineRule="auto"/>
      <w:ind w:left="420" w:leftChars="200"/>
    </w:pPr>
  </w:style>
  <w:style w:type="paragraph" w:styleId="10">
    <w:name w:val="Balloon Text"/>
    <w:basedOn w:val="1"/>
    <w:link w:val="26"/>
    <w:semiHidden/>
    <w:qFormat/>
    <w:uiPriority w:val="99"/>
    <w:rPr>
      <w:rFonts w:eastAsia="宋体" w:cs="Times New Roman"/>
      <w:sz w:val="2"/>
      <w:szCs w:val="2"/>
    </w:rPr>
  </w:style>
  <w:style w:type="paragraph" w:styleId="11">
    <w:name w:val="footer"/>
    <w:basedOn w:val="1"/>
    <w:link w:val="27"/>
    <w:semiHidden/>
    <w:qFormat/>
    <w:uiPriority w:val="99"/>
    <w:pPr>
      <w:tabs>
        <w:tab w:val="center" w:pos="4153"/>
        <w:tab w:val="right" w:pos="8306"/>
      </w:tabs>
    </w:pPr>
    <w:rPr>
      <w:rFonts w:eastAsia="宋体" w:cs="Times New Roman"/>
      <w:sz w:val="18"/>
      <w:szCs w:val="18"/>
    </w:rPr>
  </w:style>
  <w:style w:type="paragraph" w:styleId="12">
    <w:name w:val="header"/>
    <w:basedOn w:val="1"/>
    <w:link w:val="28"/>
    <w:semiHidden/>
    <w:qFormat/>
    <w:uiPriority w:val="99"/>
    <w:pPr>
      <w:pBdr>
        <w:bottom w:val="single" w:color="auto" w:sz="6" w:space="1"/>
      </w:pBdr>
      <w:tabs>
        <w:tab w:val="center" w:pos="4153"/>
        <w:tab w:val="right" w:pos="8306"/>
      </w:tabs>
      <w:jc w:val="center"/>
    </w:pPr>
    <w:rPr>
      <w:rFonts w:eastAsia="宋体" w:cs="Times New Roman"/>
      <w:sz w:val="18"/>
      <w:szCs w:val="18"/>
    </w:rPr>
  </w:style>
  <w:style w:type="paragraph" w:styleId="13">
    <w:name w:val="Subtitle"/>
    <w:basedOn w:val="1"/>
    <w:next w:val="1"/>
    <w:qFormat/>
    <w:locked/>
    <w:uiPriority w:val="0"/>
    <w:pPr>
      <w:spacing w:before="240" w:after="60" w:line="312" w:lineRule="auto"/>
      <w:jc w:val="center"/>
      <w:outlineLvl w:val="1"/>
    </w:pPr>
    <w:rPr>
      <w:rFonts w:ascii="Cambria" w:hAnsi="Cambria" w:cs="Cambria"/>
      <w:b/>
      <w:kern w:val="1"/>
      <w:sz w:val="32"/>
      <w:szCs w:val="32"/>
      <w:lang w:val="zh-CN"/>
    </w:rPr>
  </w:style>
  <w:style w:type="paragraph" w:styleId="14">
    <w:name w:val="toc 2"/>
    <w:basedOn w:val="1"/>
    <w:next w:val="1"/>
    <w:qFormat/>
    <w:locked/>
    <w:uiPriority w:val="0"/>
    <w:pPr>
      <w:ind w:left="420"/>
    </w:pPr>
  </w:style>
  <w:style w:type="paragraph" w:styleId="15">
    <w:name w:val="Normal (Web)"/>
    <w:basedOn w:val="1"/>
    <w:qFormat/>
    <w:uiPriority w:val="99"/>
    <w:pPr>
      <w:widowControl w:val="0"/>
      <w:adjustRightInd/>
      <w:snapToGrid/>
      <w:spacing w:after="0" w:line="360" w:lineRule="auto"/>
      <w:ind w:firstLine="1440" w:firstLineChars="200"/>
      <w:jc w:val="both"/>
    </w:pPr>
    <w:rPr>
      <w:rFonts w:ascii="Calibri" w:hAnsi="Calibri" w:eastAsia="宋体" w:cs="Times New Roman"/>
      <w:kern w:val="2"/>
      <w:sz w:val="24"/>
    </w:rPr>
  </w:style>
  <w:style w:type="paragraph" w:styleId="16">
    <w:name w:val="Body Text First Indent"/>
    <w:basedOn w:val="6"/>
    <w:unhideWhenUsed/>
    <w:qFormat/>
    <w:uiPriority w:val="99"/>
    <w:pPr>
      <w:ind w:firstLine="420" w:firstLineChars="100"/>
    </w:pPr>
  </w:style>
  <w:style w:type="table" w:styleId="18">
    <w:name w:val="Table Grid"/>
    <w:basedOn w:val="17"/>
    <w:qFormat/>
    <w:locked/>
    <w:uiPriority w:val="0"/>
    <w:pPr>
      <w:adjustRightInd w:val="0"/>
      <w:snapToGrid w:val="0"/>
      <w:spacing w:after="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qFormat/>
    <w:uiPriority w:val="99"/>
    <w:rPr>
      <w:rFonts w:cs="Times New Roman"/>
    </w:rPr>
  </w:style>
  <w:style w:type="character" w:styleId="21">
    <w:name w:val="FollowedHyperlink"/>
    <w:basedOn w:val="19"/>
    <w:unhideWhenUsed/>
    <w:qFormat/>
    <w:uiPriority w:val="0"/>
    <w:rPr>
      <w:rFonts w:hint="eastAsia" w:ascii="宋体" w:hAnsi="宋体" w:eastAsia="宋体" w:cs="宋体"/>
      <w:color w:val="0031C1"/>
      <w:sz w:val="18"/>
      <w:szCs w:val="18"/>
      <w:u w:val="none"/>
    </w:rPr>
  </w:style>
  <w:style w:type="character" w:styleId="22">
    <w:name w:val="Hyperlink"/>
    <w:basedOn w:val="19"/>
    <w:unhideWhenUsed/>
    <w:qFormat/>
    <w:uiPriority w:val="0"/>
    <w:rPr>
      <w:rFonts w:hint="eastAsia" w:ascii="宋体" w:hAnsi="宋体" w:eastAsia="宋体" w:cs="宋体"/>
      <w:color w:val="0031C1"/>
      <w:sz w:val="18"/>
      <w:szCs w:val="18"/>
      <w:u w:val="none"/>
    </w:rPr>
  </w:style>
  <w:style w:type="paragraph" w:customStyle="1" w:styleId="23">
    <w:name w:val="Default"/>
    <w:link w:val="34"/>
    <w:qFormat/>
    <w:uiPriority w:val="0"/>
    <w:pPr>
      <w:widowControl w:val="0"/>
      <w:autoSpaceDE w:val="0"/>
      <w:autoSpaceDN w:val="0"/>
      <w:adjustRightInd w:val="0"/>
    </w:pPr>
    <w:rPr>
      <w:rFonts w:ascii="......." w:hAnsi="Calibri" w:eastAsia="......." w:cs="Times New Roman"/>
      <w:color w:val="000000"/>
      <w:sz w:val="24"/>
      <w:szCs w:val="24"/>
      <w:lang w:val="en-US" w:eastAsia="zh-CN" w:bidi="ar-SA"/>
    </w:rPr>
  </w:style>
  <w:style w:type="character" w:customStyle="1" w:styleId="24">
    <w:name w:val="标题 2 Char"/>
    <w:link w:val="4"/>
    <w:qFormat/>
    <w:locked/>
    <w:uiPriority w:val="0"/>
    <w:rPr>
      <w:rFonts w:ascii="Cambria" w:hAnsi="Cambria" w:eastAsia="宋体" w:cs="Cambria"/>
      <w:b/>
      <w:bCs/>
      <w:kern w:val="2"/>
      <w:sz w:val="32"/>
      <w:szCs w:val="32"/>
    </w:rPr>
  </w:style>
  <w:style w:type="character" w:customStyle="1" w:styleId="25">
    <w:name w:val="文档结构图 Char"/>
    <w:link w:val="5"/>
    <w:semiHidden/>
    <w:qFormat/>
    <w:locked/>
    <w:uiPriority w:val="99"/>
    <w:rPr>
      <w:rFonts w:ascii="宋体" w:hAnsi="Tahoma" w:eastAsia="宋体" w:cs="宋体"/>
      <w:sz w:val="18"/>
      <w:szCs w:val="18"/>
    </w:rPr>
  </w:style>
  <w:style w:type="character" w:customStyle="1" w:styleId="26">
    <w:name w:val="批注框文本 Char"/>
    <w:link w:val="10"/>
    <w:semiHidden/>
    <w:qFormat/>
    <w:locked/>
    <w:uiPriority w:val="99"/>
    <w:rPr>
      <w:rFonts w:ascii="Tahoma" w:hAnsi="Tahoma" w:cs="Tahoma"/>
      <w:kern w:val="0"/>
      <w:sz w:val="2"/>
      <w:szCs w:val="2"/>
    </w:rPr>
  </w:style>
  <w:style w:type="character" w:customStyle="1" w:styleId="27">
    <w:name w:val="页脚 Char"/>
    <w:link w:val="11"/>
    <w:semiHidden/>
    <w:qFormat/>
    <w:locked/>
    <w:uiPriority w:val="99"/>
    <w:rPr>
      <w:rFonts w:ascii="Tahoma" w:hAnsi="Tahoma" w:cs="Tahoma"/>
      <w:sz w:val="18"/>
      <w:szCs w:val="18"/>
    </w:rPr>
  </w:style>
  <w:style w:type="character" w:customStyle="1" w:styleId="28">
    <w:name w:val="页眉 Char"/>
    <w:link w:val="12"/>
    <w:semiHidden/>
    <w:qFormat/>
    <w:locked/>
    <w:uiPriority w:val="99"/>
    <w:rPr>
      <w:rFonts w:ascii="Tahoma" w:hAnsi="Tahoma" w:cs="Tahoma"/>
      <w:sz w:val="18"/>
      <w:szCs w:val="18"/>
    </w:rPr>
  </w:style>
  <w:style w:type="character" w:customStyle="1" w:styleId="29">
    <w:name w:val="标题 1 Char"/>
    <w:link w:val="3"/>
    <w:qFormat/>
    <w:uiPriority w:val="0"/>
    <w:rPr>
      <w:rFonts w:ascii="Tahoma" w:hAnsi="Tahoma" w:cs="Tahoma"/>
      <w:b/>
      <w:bCs/>
      <w:kern w:val="44"/>
      <w:sz w:val="44"/>
      <w:szCs w:val="44"/>
    </w:rPr>
  </w:style>
  <w:style w:type="character" w:customStyle="1" w:styleId="30">
    <w:name w:val="日期 Char"/>
    <w:link w:val="8"/>
    <w:semiHidden/>
    <w:qFormat/>
    <w:uiPriority w:val="0"/>
    <w:rPr>
      <w:rFonts w:ascii="Tahoma" w:hAnsi="Tahoma" w:cs="Tahoma"/>
      <w:sz w:val="22"/>
      <w:szCs w:val="22"/>
    </w:rPr>
  </w:style>
  <w:style w:type="character" w:customStyle="1" w:styleId="31">
    <w:name w:val="underline"/>
    <w:qFormat/>
    <w:uiPriority w:val="0"/>
    <w:rPr>
      <w:u w:val="single"/>
    </w:rPr>
  </w:style>
  <w:style w:type="paragraph" w:customStyle="1" w:styleId="32">
    <w:name w:val="p0"/>
    <w:basedOn w:val="1"/>
    <w:qFormat/>
    <w:uiPriority w:val="0"/>
    <w:rPr>
      <w:szCs w:val="21"/>
    </w:rPr>
  </w:style>
  <w:style w:type="paragraph" w:styleId="33">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34">
    <w:name w:val="Default Char"/>
    <w:link w:val="23"/>
    <w:qFormat/>
    <w:locked/>
    <w:uiPriority w:val="0"/>
    <w:rPr>
      <w:rFonts w:ascii="......." w:eastAsia="......."/>
      <w:color w:val="000000"/>
      <w:sz w:val="24"/>
      <w:szCs w:val="24"/>
      <w:lang w:bidi="ar-SA"/>
    </w:rPr>
  </w:style>
  <w:style w:type="character" w:customStyle="1" w:styleId="35">
    <w:name w:val="正文文本缩进 2 Char"/>
    <w:basedOn w:val="19"/>
    <w:link w:val="9"/>
    <w:semiHidden/>
    <w:qFormat/>
    <w:uiPriority w:val="0"/>
    <w:rPr>
      <w:rFonts w:ascii="Tahoma" w:hAnsi="Tahoma" w:eastAsia="微软雅黑" w:cs="Tahoma"/>
      <w:sz w:val="22"/>
      <w:szCs w:val="22"/>
    </w:rPr>
  </w:style>
  <w:style w:type="character" w:customStyle="1" w:styleId="36">
    <w:name w:val="fielderror"/>
    <w:basedOn w:val="19"/>
    <w:qFormat/>
    <w:uiPriority w:val="0"/>
    <w:rPr>
      <w:color w:val="800000"/>
    </w:rPr>
  </w:style>
  <w:style w:type="character" w:customStyle="1" w:styleId="37">
    <w:name w:val="hilite6"/>
    <w:basedOn w:val="19"/>
    <w:qFormat/>
    <w:uiPriority w:val="0"/>
    <w:rPr>
      <w:color w:val="000000"/>
    </w:rPr>
  </w:style>
  <w:style w:type="character" w:customStyle="1" w:styleId="38">
    <w:name w:val="active6"/>
    <w:basedOn w:val="19"/>
    <w:qFormat/>
    <w:uiPriority w:val="0"/>
    <w:rPr>
      <w:color w:val="FFFFFF"/>
    </w:rPr>
  </w:style>
  <w:style w:type="character" w:customStyle="1" w:styleId="39">
    <w:name w:val="required"/>
    <w:basedOn w:val="19"/>
    <w:qFormat/>
    <w:uiPriority w:val="0"/>
    <w:rPr>
      <w:color w:val="FF0000"/>
    </w:rPr>
  </w:style>
  <w:style w:type="character" w:customStyle="1" w:styleId="40">
    <w:name w:val="tab1"/>
    <w:basedOn w:val="19"/>
    <w:qFormat/>
    <w:uiPriority w:val="0"/>
  </w:style>
  <w:style w:type="character" w:customStyle="1" w:styleId="41">
    <w:name w:val="tab2"/>
    <w:basedOn w:val="19"/>
    <w:qFormat/>
    <w:uiPriority w:val="0"/>
    <w:rPr>
      <w:color w:val="33336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5124"/>
    <customShpInfo spid="_x0000_s5123"/>
    <customShpInfo spid="_x0000_s5126"/>
    <customShpInfo spid="_x0000_s51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B47AB1-05DF-4742-AD34-91FA31E3506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44</Pages>
  <Words>3031</Words>
  <Characters>17281</Characters>
  <Lines>144</Lines>
  <Paragraphs>40</Paragraphs>
  <TotalTime>24</TotalTime>
  <ScaleCrop>false</ScaleCrop>
  <LinksUpToDate>false</LinksUpToDate>
  <CharactersWithSpaces>20272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2016-01-11T06:42:00Z</dcterms:created>
  <dc:creator>曹勇飞</dc:creator>
  <cp:lastModifiedBy>Ava</cp:lastModifiedBy>
  <cp:lastPrinted>2020-09-18T01:49:18Z</cp:lastPrinted>
  <dcterms:modified xsi:type="dcterms:W3CDTF">2020-09-18T02:19:41Z</dcterms:modified>
  <dc:title>第二部分  招标项目要求</dc:title>
  <cp:revision>431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