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关于北辰区青光镇人民政府202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年政府决算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区对镇转移支付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1500</w:t>
      </w:r>
      <w:r>
        <w:rPr>
          <w:rFonts w:hint="eastAsia" w:ascii="仿宋" w:hAnsi="仿宋" w:eastAsia="仿宋"/>
          <w:sz w:val="32"/>
          <w:szCs w:val="32"/>
        </w:rPr>
        <w:t>万元，其中：一般公共预算补助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万元。政府性基金预算补助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1500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</w:t>
      </w:r>
      <w:r>
        <w:rPr>
          <w:rFonts w:ascii="黑体" w:hAnsi="黑体" w:eastAsia="黑体"/>
          <w:sz w:val="32"/>
          <w:szCs w:val="32"/>
        </w:rPr>
        <w:t>政府债务情况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青光镇无政府债务。</w:t>
      </w:r>
    </w:p>
    <w:p>
      <w:pPr>
        <w:numPr>
          <w:ilvl w:val="0"/>
          <w:numId w:val="1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预算绩效工作开展情况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仿宋" w:hAnsi="仿宋" w:eastAsia="仿宋" w:cs="华文仿宋"/>
          <w:sz w:val="32"/>
          <w:szCs w:val="32"/>
        </w:rPr>
        <w:t>根据预算绩效管理要求，天津市青光镇人民政府202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华文仿宋"/>
          <w:sz w:val="32"/>
          <w:szCs w:val="32"/>
        </w:rPr>
        <w:t>年度已对</w:t>
      </w:r>
      <w:r>
        <w:rPr>
          <w:rFonts w:hint="eastAsia" w:ascii="仿宋" w:hAnsi="仿宋" w:eastAsia="仿宋" w:cs="华文仿宋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" w:hAnsi="仿宋" w:eastAsia="仿宋" w:cs="华文仿宋"/>
          <w:sz w:val="32"/>
          <w:szCs w:val="32"/>
        </w:rPr>
        <w:t>个</w:t>
      </w:r>
      <w:bookmarkStart w:id="0" w:name="_GoBack"/>
      <w:bookmarkEnd w:id="0"/>
      <w:r>
        <w:rPr>
          <w:rFonts w:hint="eastAsia" w:ascii="仿宋" w:hAnsi="仿宋" w:eastAsia="仿宋" w:cs="华文仿宋"/>
          <w:sz w:val="32"/>
          <w:szCs w:val="32"/>
        </w:rPr>
        <w:t>项目开展绩效自评，涉及金额</w:t>
      </w:r>
      <w:r>
        <w:rPr>
          <w:rFonts w:hint="eastAsia" w:ascii="仿宋" w:hAnsi="仿宋" w:eastAsia="仿宋" w:cs="华文仿宋"/>
          <w:sz w:val="32"/>
          <w:szCs w:val="32"/>
          <w:highlight w:val="none"/>
          <w:lang w:val="en-US" w:eastAsia="zh-CN"/>
        </w:rPr>
        <w:t>3868</w:t>
      </w:r>
      <w:r>
        <w:rPr>
          <w:rFonts w:hint="eastAsia" w:ascii="仿宋" w:hAnsi="仿宋" w:eastAsia="仿宋" w:cs="华文仿宋"/>
          <w:sz w:val="32"/>
          <w:szCs w:val="32"/>
        </w:rPr>
        <w:t>万元。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B66D6"/>
    <w:multiLevelType w:val="singleLevel"/>
    <w:tmpl w:val="60AB66D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IxMzQ3MmRhYmMzNmQzN2ViNmI0OGQ5MjUxMTY2MTcifQ=="/>
  </w:docVars>
  <w:rsids>
    <w:rsidRoot w:val="00000000"/>
    <w:rsid w:val="29106C0C"/>
    <w:rsid w:val="6E506153"/>
    <w:rsid w:val="6E82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151</Words>
  <Characters>169</Characters>
  <Lines>1</Lines>
  <Paragraphs>1</Paragraphs>
  <TotalTime>2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Administrator</cp:lastModifiedBy>
  <dcterms:modified xsi:type="dcterms:W3CDTF">2023-09-11T07:44:21Z</dcterms:modified>
  <dc:title>关于北辰区青光镇人民政府2019年政府决算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A6D47238562342FC928C372960522F01_12</vt:lpwstr>
  </property>
</Properties>
</file>