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ind w:left="-178" w:leftChars="-85" w:right="-327" w:rightChars="-156" w:firstLine="187" w:firstLineChars="31"/>
        <w:jc w:val="center"/>
        <w:rPr>
          <w:rFonts w:hint="eastAsia" w:ascii="方正小标宋简体" w:eastAsia="方正小标宋简体"/>
          <w:color w:val="FF0000"/>
          <w:spacing w:val="31"/>
          <w:w w:val="130"/>
          <w:kern w:val="56"/>
          <w:sz w:val="32"/>
          <w:szCs w:val="32"/>
        </w:rPr>
      </w:pPr>
      <w:r>
        <w:rPr>
          <w:rFonts w:hint="eastAsia" w:ascii="新宋体" w:hAnsi="新宋体" w:eastAsia="新宋体"/>
          <w:b/>
          <w:color w:val="FF0000"/>
          <w:spacing w:val="31"/>
          <w:kern w:val="56"/>
          <w:sz w:val="54"/>
          <w:szCs w:val="54"/>
        </w:rPr>
        <w:t>天津市北辰区双口镇</w:t>
      </w:r>
      <w:r>
        <w:rPr>
          <w:rFonts w:hint="eastAsia" w:ascii="新宋体" w:hAnsi="新宋体" w:eastAsia="新宋体"/>
          <w:b/>
          <w:color w:val="FF0000"/>
          <w:spacing w:val="31"/>
          <w:kern w:val="56"/>
          <w:sz w:val="54"/>
          <w:szCs w:val="54"/>
          <w:lang w:eastAsia="zh-CN"/>
        </w:rPr>
        <w:t>人民政府</w:t>
      </w:r>
    </w:p>
    <w:p>
      <w:pPr>
        <w:jc w:val="center"/>
        <w:rPr>
          <w:rFonts w:hint="eastAsia" w:ascii="方正公文小标宋" w:hAnsi="方正公文小标宋" w:eastAsia="方正公文小标宋" w:cs="方正公文小标宋"/>
          <w:sz w:val="44"/>
          <w:szCs w:val="44"/>
        </w:rPr>
      </w:pPr>
      <w:r>
        <w:rPr>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15940" cy="0"/>
                <wp:effectExtent l="0" t="12700" r="3810" b="15875"/>
                <wp:wrapNone/>
                <wp:docPr id="1" name="直接连接符 1"/>
                <wp:cNvGraphicFramePr/>
                <a:graphic xmlns:a="http://schemas.openxmlformats.org/drawingml/2006/main">
                  <a:graphicData uri="http://schemas.microsoft.com/office/word/2010/wordprocessingShape">
                    <wps:wsp>
                      <wps:cNvSpPr/>
                      <wps:spPr>
                        <a:xfrm>
                          <a:off x="0" y="0"/>
                          <a:ext cx="5615940" cy="0"/>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0pt;height:0pt;width:442.2pt;z-index:251658240;mso-width-relative:page;mso-height-relative:page;" filled="f" coordsize="21600,21600" o:gfxdata="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z06PO0gAAAAIBAAAPAAAAAAAAAAEAIAAAADgAAABkcnMvZG93bnJldi54bWxQSwECFAAUAAAA&#10;CACHTuJARN5Qid4BAACaAwAADgAAAAAAAAABACAAAAA3AQAAZHJzL2Uyb0RvYy54bWxQSwUGAAAA&#10;AAYABgBZAQAAhwUAAAAA&#10;">
                <v:path arrowok="t"/>
                <v:fill on="f" focussize="0,0"/>
                <v:stroke weight="2pt" color="#FF0000"/>
                <v:imagedata o:title=""/>
                <o:lock v:ext="edit" grouping="f" rotation="f" text="f" aspectratio="f"/>
              </v:line>
            </w:pict>
          </mc:Fallback>
        </mc:AlternateContent>
      </w:r>
      <w:r>
        <w:rPr>
          <w:rFonts w:hint="eastAsia" w:ascii="方正公文小标宋" w:hAnsi="方正公文小标宋" w:eastAsia="方正公文小标宋" w:cs="方正公文小标宋"/>
          <w:sz w:val="44"/>
          <w:szCs w:val="44"/>
        </w:rPr>
        <w:t>双口镇202</w:t>
      </w:r>
      <w:r>
        <w:rPr>
          <w:rFonts w:hint="default" w:ascii="方正公文小标宋" w:hAnsi="方正公文小标宋" w:eastAsia="方正公文小标宋" w:cs="方正公文小标宋"/>
          <w:sz w:val="44"/>
          <w:szCs w:val="44"/>
          <w:lang w:val="en"/>
        </w:rPr>
        <w:t>3</w:t>
      </w:r>
      <w:r>
        <w:rPr>
          <w:rFonts w:hint="eastAsia" w:ascii="方正公文小标宋" w:hAnsi="方正公文小标宋" w:eastAsia="方正公文小标宋" w:cs="方正公文小标宋"/>
          <w:sz w:val="44"/>
          <w:szCs w:val="44"/>
        </w:rPr>
        <w:t>年度行政执法工作情况</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为落实好《天津市行政执法监督规定》相关要求,现将本单位202</w:t>
      </w:r>
      <w:r>
        <w:rPr>
          <w:rFonts w:hint="default" w:ascii="方正仿宋_GB2312" w:hAnsi="方正仿宋_GB2312" w:eastAsia="方正仿宋_GB2312" w:cs="方正仿宋_GB2312"/>
          <w:sz w:val="32"/>
          <w:szCs w:val="32"/>
          <w:lang w:val="en"/>
        </w:rPr>
        <w:t>3</w:t>
      </w:r>
      <w:r>
        <w:rPr>
          <w:rFonts w:hint="eastAsia" w:ascii="方正仿宋_GB2312" w:hAnsi="方正仿宋_GB2312" w:eastAsia="方正仿宋_GB2312" w:cs="方正仿宋_GB2312"/>
          <w:sz w:val="32"/>
          <w:szCs w:val="32"/>
        </w:rPr>
        <w:t>年度行政执法工作相关情况报告如下:</w:t>
      </w:r>
    </w:p>
    <w:p>
      <w:pPr>
        <w:numPr>
          <w:ilvl w:val="0"/>
          <w:numId w:val="0"/>
        </w:numPr>
        <w:rPr>
          <w:rFonts w:hint="eastAsia" w:ascii="方正公文黑体" w:hAnsi="方正公文黑体" w:eastAsia="方正公文黑体" w:cs="方正公文黑体"/>
          <w:sz w:val="32"/>
          <w:szCs w:val="32"/>
          <w:lang w:eastAsia="zh-CN"/>
        </w:rPr>
      </w:pPr>
      <w:r>
        <w:rPr>
          <w:rFonts w:hint="eastAsia" w:ascii="方正公文黑体" w:hAnsi="方正公文黑体" w:eastAsia="方正公文黑体" w:cs="方正公文黑体"/>
          <w:sz w:val="32"/>
          <w:szCs w:val="32"/>
          <w:lang w:val="en-US" w:eastAsia="zh-CN"/>
        </w:rPr>
        <w:t xml:space="preserve">    一、基本情况</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1、人员情况。</w:t>
      </w:r>
      <w:r>
        <w:rPr>
          <w:rFonts w:hint="eastAsia" w:ascii="仿宋" w:hAnsi="仿宋" w:eastAsia="仿宋" w:cs="仿宋"/>
          <w:sz w:val="32"/>
          <w:szCs w:val="32"/>
          <w:lang w:eastAsia="zh-CN"/>
        </w:rPr>
        <w:t>双口镇综合执法大队，大队长</w:t>
      </w:r>
      <w:r>
        <w:rPr>
          <w:rFonts w:hint="eastAsia" w:ascii="仿宋" w:hAnsi="仿宋" w:eastAsia="仿宋" w:cs="仿宋"/>
          <w:sz w:val="32"/>
          <w:szCs w:val="32"/>
          <w:lang w:val="en-US" w:eastAsia="zh-CN"/>
        </w:rPr>
        <w:t>1名，参公执法队员14名，其中持证队员13名（其中11名借调至其他部门），辅助队员14名（其中8人借调至其他部门）另有其他持证执法人员5人，其中3人新增，1人正在办理注销（均未在执法队工作），。</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执法机构情况。双口镇综合执法大队，</w:t>
      </w:r>
      <w:r>
        <w:rPr>
          <w:rFonts w:hint="eastAsia" w:ascii="仿宋" w:hAnsi="仿宋" w:eastAsia="仿宋" w:cs="仿宋"/>
          <w:sz w:val="32"/>
          <w:szCs w:val="32"/>
          <w:lang w:val="en-US" w:eastAsia="zh-CN"/>
        </w:rPr>
        <w:t>现有部门负责人1名，副队长2名，部门副主任1名，内勤1名，法治员1名，工作组3个，各组均由4名人员组成，全队共有2人持证在岗。</w:t>
      </w:r>
    </w:p>
    <w:p>
      <w:pPr>
        <w:pStyle w:val="2"/>
        <w:rPr>
          <w:rFonts w:hint="default"/>
          <w:lang w:val="en-US"/>
        </w:rPr>
      </w:pPr>
      <w:r>
        <w:rPr>
          <w:rFonts w:hint="eastAsia" w:ascii="仿宋" w:hAnsi="仿宋" w:eastAsia="仿宋" w:cs="仿宋"/>
          <w:sz w:val="32"/>
          <w:szCs w:val="32"/>
          <w:lang w:val="en-US" w:eastAsia="zh-CN"/>
        </w:rPr>
        <w:t xml:space="preserve">    3、行政执法案件情况。截至目前，行政执法检查案件588宗，行政处罚简易程序54宗，因垃圾分类执法工作推进较快，年度办案量较去年大幅增长，并超额完成年初执法计划。</w:t>
      </w:r>
    </w:p>
    <w:p>
      <w:pPr>
        <w:numPr>
          <w:ilvl w:val="0"/>
          <w:numId w:val="0"/>
        </w:numPr>
        <w:rPr>
          <w:rFonts w:hint="eastAsia" w:ascii="方正公文黑体" w:hAnsi="方正公文黑体" w:eastAsia="方正公文黑体" w:cs="方正公文黑体"/>
          <w:sz w:val="32"/>
          <w:szCs w:val="32"/>
          <w:lang w:eastAsia="zh-CN"/>
        </w:rPr>
      </w:pPr>
      <w:r>
        <w:rPr>
          <w:rFonts w:hint="eastAsia" w:ascii="方正公文黑体" w:hAnsi="方正公文黑体" w:eastAsia="方正公文黑体" w:cs="方正公文黑体"/>
          <w:sz w:val="32"/>
          <w:szCs w:val="32"/>
          <w:lang w:val="en-US" w:eastAsia="zh-CN"/>
        </w:rPr>
        <w:t xml:space="preserve">    </w:t>
      </w:r>
      <w:r>
        <w:rPr>
          <w:rFonts w:hint="eastAsia" w:ascii="方正公文黑体" w:hAnsi="方正公文黑体" w:eastAsia="方正公文黑体" w:cs="方正公文黑体"/>
          <w:sz w:val="32"/>
          <w:szCs w:val="32"/>
          <w:lang w:eastAsia="zh-CN"/>
        </w:rPr>
        <w:t>二、主要</w:t>
      </w:r>
      <w:r>
        <w:rPr>
          <w:rFonts w:hint="eastAsia" w:ascii="方正公文黑体" w:hAnsi="方正公文黑体" w:eastAsia="方正公文黑体" w:cs="方正公文黑体"/>
          <w:sz w:val="32"/>
          <w:szCs w:val="32"/>
        </w:rPr>
        <w:t>工作措施</w:t>
      </w:r>
      <w:r>
        <w:rPr>
          <w:rFonts w:hint="eastAsia" w:ascii="方正公文黑体" w:hAnsi="方正公文黑体" w:eastAsia="方正公文黑体" w:cs="方正公文黑体"/>
          <w:sz w:val="32"/>
          <w:szCs w:val="32"/>
          <w:lang w:eastAsia="zh-CN"/>
        </w:rPr>
        <w:t>及成效</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强化制度保障，夯实行政执法基础。镇执法大队在区司法行政部门指导下制定、完善了一系列制度,如:《双口镇行政执法案卷管理制度》、《双口镇行政执法责任制度》、《双口镇重大执法决定集体讨论制度》、《双口镇行政执法音像记录管理制度》、《双口镇机关内部人员过问案件的记录和责任追究规定》、《双口镇领导干部干预司法活动、插手具体案件处理的记录、通报和责任追究规定》等,严格把控执法工作开展过程中的各个环节夯实了行政执法工作基础。借助镇法律顾问的力量,在作出重大行政执法决策、推行重大事项前予以指导,同时,事务所律师也通过多年来积累的经验,搜集行政执法领域经典案例,给我镇执法人员提供更多行政执法实例的参考。</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建立3+X工作机制。即镇执法大队以三个工作组为主要力量，协同镇其他相关业务科室，建立健全部门间无缝衔接的工作机制，强化执法协作，避免出现职责交叉重叠或真空漏洞。一是建立信息资源互享制度，业务部门与执法部门在履行各自行政管理职能过程中，互相通报、共享各类执法信息，确保双方及时掌握执法动态，规避政策盲区。二是建立协调会商制度，研究执法与业务科室之间需要协作配合的相关事项，协商解决行政执法过程中遇到的普遍性问题及焦点难点问题，协调推动重大联动执法工作等。三是建立执法协助机制，在执法部门认定违法事项过程中，业务部门提供相应的技术支撑。</w:t>
      </w:r>
    </w:p>
    <w:p>
      <w:pPr>
        <w:pStyle w:val="2"/>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3、建立1+X联动机制。即镇执法大队作为镇集中行使行政执法职权单位，联合其他相关区级业务部门，针对执法清单内容展开业务交流。通过以案释法，规范执法流程，进一步提高基层执法办案中立案、调查、结案、执行等各个环节的规范化程度。通过以课代训，促进效能提升，对照区级单位下沉的行政执法事项，积极联动业务主管单位编制执法指南，以培训、座谈、现场联合执法等多种方式，实现实时互通共享，及时化解基层一线执法疑难，促进执法人员执法水平提升。</w:t>
      </w:r>
      <w:bookmarkStart w:id="0" w:name="_GoBack"/>
      <w:bookmarkEnd w:id="0"/>
    </w:p>
    <w:p>
      <w:pPr>
        <w:pStyle w:val="2"/>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4、全面落实三项制度。</w:t>
      </w:r>
      <w:r>
        <w:rPr>
          <w:rFonts w:hint="default" w:ascii="仿宋" w:hAnsi="仿宋" w:eastAsia="仿宋" w:cs="仿宋"/>
          <w:kern w:val="2"/>
          <w:sz w:val="32"/>
          <w:szCs w:val="32"/>
          <w:lang w:val="en-US" w:eastAsia="zh-CN" w:bidi="ar-SA"/>
        </w:rPr>
        <w:t>建立健全行政执法公示、执法全过程记录、重大执法决定</w:t>
      </w:r>
      <w:r>
        <w:rPr>
          <w:rFonts w:hint="eastAsia" w:ascii="仿宋" w:hAnsi="仿宋" w:eastAsia="仿宋" w:cs="仿宋"/>
          <w:kern w:val="2"/>
          <w:sz w:val="32"/>
          <w:szCs w:val="32"/>
          <w:lang w:val="en-US" w:eastAsia="zh-CN" w:bidi="ar-SA"/>
        </w:rPr>
        <w:t>集体讨论</w:t>
      </w:r>
      <w:r>
        <w:rPr>
          <w:rFonts w:hint="default" w:ascii="仿宋" w:hAnsi="仿宋" w:eastAsia="仿宋" w:cs="仿宋"/>
          <w:kern w:val="2"/>
          <w:sz w:val="32"/>
          <w:szCs w:val="32"/>
          <w:lang w:val="en-US" w:eastAsia="zh-CN" w:bidi="ar-SA"/>
        </w:rPr>
        <w:t>“三项制度”配套机制和措施</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实行权责清单年度动态调整，压实行政执法责任制，践行规范公正文明执法</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严格落实双人执法、亮证执法</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主动告知当事人依法享有的权利，被处罚的事实、理由和依据</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充分听取当事人的陈述、申辩。立案遵循程序合法</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统一使用区司法局制定的格式文书，对法律文书按照统一格式制做、装订，坚持一案一档一卷，及时将档案卷宗进行整理归档。</w:t>
      </w:r>
    </w:p>
    <w:p>
      <w:pPr>
        <w:pStyle w:val="2"/>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5、全面推行行政执法公示制度镇执法队以《关于推进街镇综合执法工作的实施方案》内下沉执法事项为基础,结合法律法规修改情况、执法权移交情况,及时对权责清单进行动态调整。我镇行政执法人员在执法过程中,秉承以教育为主,通过劝导示范、行政指导等方式,引导当事人依法作出整改,消除违法影响,共劝阻违法行为近110余次,下达温馨提示18份,</w:t>
      </w:r>
      <w:r>
        <w:rPr>
          <w:rFonts w:hint="default" w:ascii="仿宋" w:hAnsi="仿宋" w:eastAsia="仿宋" w:cs="仿宋"/>
          <w:kern w:val="2"/>
          <w:sz w:val="32"/>
          <w:szCs w:val="32"/>
          <w:lang w:val="en-US" w:eastAsia="zh-CN" w:bidi="ar-SA"/>
        </w:rPr>
        <w:t>查处遵循适用法律</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准确把握法条的调整对象和适用范围，严格按照规定处罚幅度作出行政处罚</w:t>
      </w:r>
      <w:r>
        <w:rPr>
          <w:rFonts w:hint="eastAsia" w:ascii="仿宋" w:hAnsi="仿宋" w:eastAsia="仿宋" w:cs="仿宋"/>
          <w:kern w:val="2"/>
          <w:sz w:val="32"/>
          <w:szCs w:val="32"/>
          <w:lang w:val="en-US" w:eastAsia="zh-CN" w:bidi="ar-SA"/>
        </w:rPr>
        <w:t>。因近年来村民整体素质显著提高,在劝导或下达温馨提示后,大多数村民可以及时改正。全年推进结转执法案件工作2宗，行政处罚7宗，新立案违法案件1宗，执法过程中均能做到着装规范、程序合法、亮证执法。并安排专人负责市行政执法监督平合相关工作,按照要求归集执法信息,及时录入行政处罚决定等信息,做到处罚信息全公开。</w:t>
      </w:r>
    </w:p>
    <w:p>
      <w:pPr>
        <w:pStyle w:val="2"/>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6、土地领域问题整治及田长制管控工作根据市、区两级田长制工作要求及区级下发的工作方案,继续推进落实《双口镇耕地保护“田长制”实施方案》,充分发挥镇二、三级田长,二、三级网格员作用,保证了全年违法用地零新增,一本账工作实现突破。</w:t>
      </w:r>
    </w:p>
    <w:p>
      <w:pPr>
        <w:pStyle w:val="2"/>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7、全面推行重大执法决定法制审核制度。严格按照《双</w:t>
      </w:r>
    </w:p>
    <w:p>
      <w:pPr>
        <w:pStyle w:val="2"/>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口镇重大执法执法决定法制审核流程》要求,核准审核范围及审核内容,对凡涉及重大公共利益,可能造成重大社会影响或引发社会风险,直接关系行政相对人或第三人重大权益,经过听证程序作出行政执法决定,以及案件情况疑难复杂或涉及多个法律关系的,进行法制审核。</w:t>
      </w:r>
    </w:p>
    <w:p>
      <w:pPr>
        <w:numPr>
          <w:ilvl w:val="0"/>
          <w:numId w:val="0"/>
        </w:numPr>
        <w:rPr>
          <w:rFonts w:hint="eastAsia" w:ascii="方正公文黑体" w:hAnsi="方正公文黑体" w:eastAsia="方正公文黑体" w:cs="方正公文黑体"/>
          <w:sz w:val="32"/>
          <w:szCs w:val="32"/>
        </w:rPr>
      </w:pPr>
      <w:r>
        <w:rPr>
          <w:rFonts w:hint="eastAsia" w:ascii="方正公文黑体" w:hAnsi="方正公文黑体" w:eastAsia="方正公文黑体" w:cs="方正公文黑体"/>
          <w:sz w:val="32"/>
          <w:szCs w:val="32"/>
          <w:lang w:val="en-US" w:eastAsia="zh-CN"/>
        </w:rPr>
        <w:t xml:space="preserve">    </w:t>
      </w:r>
      <w:r>
        <w:rPr>
          <w:rFonts w:hint="eastAsia" w:ascii="方正公文黑体" w:hAnsi="方正公文黑体" w:eastAsia="方正公文黑体" w:cs="方正公文黑体"/>
          <w:sz w:val="32"/>
          <w:szCs w:val="32"/>
          <w:lang w:eastAsia="zh-CN"/>
        </w:rPr>
        <w:t>三、</w:t>
      </w:r>
      <w:r>
        <w:rPr>
          <w:rFonts w:hint="eastAsia" w:ascii="方正公文黑体" w:hAnsi="方正公文黑体" w:eastAsia="方正公文黑体" w:cs="方正公文黑体"/>
          <w:sz w:val="32"/>
          <w:szCs w:val="32"/>
        </w:rPr>
        <w:t>存在的问题</w:t>
      </w:r>
    </w:p>
    <w:p>
      <w:pPr>
        <w:pStyle w:val="2"/>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1、由于我镇镇域范围广、村庄地理位置分散、农业用地面积大,导致现有执法力量无法全面、细致的履行所有执法职能,在执法力量上,仍需要充实。</w:t>
      </w:r>
    </w:p>
    <w:p>
      <w:pPr>
        <w:pStyle w:val="2"/>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2、执法人员业务水平仍存在差距,部分工作人员未能很好的树立执法意识,导致工作开展中,对于应当履职尽责的事项未能及时、准确的予以处理。</w:t>
      </w:r>
    </w:p>
    <w:p>
      <w:pPr>
        <w:pStyle w:val="2"/>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3、由于我镇一直以来未编制详细控制规划，形成了许多未取得建设工程规划许可证的历史无证建筑，如一刀切纳入违法建设予以查处恐将产生较大的社会影响，产生不必要的社会风险，近年来也有多起针对此类无证建筑的恶意信访举报事件，对此，提请区领导可以协调各相关部门予以商议解决。</w:t>
      </w:r>
    </w:p>
    <w:p>
      <w:pPr>
        <w:numPr>
          <w:ilvl w:val="0"/>
          <w:numId w:val="0"/>
        </w:numPr>
        <w:rPr>
          <w:rFonts w:hint="eastAsia" w:ascii="方正公文黑体" w:hAnsi="方正公文黑体" w:eastAsia="方正公文黑体" w:cs="方正公文黑体"/>
          <w:sz w:val="32"/>
          <w:szCs w:val="32"/>
        </w:rPr>
      </w:pPr>
      <w:r>
        <w:rPr>
          <w:rFonts w:hint="eastAsia" w:ascii="方正公文黑体" w:hAnsi="方正公文黑体" w:eastAsia="方正公文黑体" w:cs="方正公文黑体"/>
          <w:sz w:val="32"/>
          <w:szCs w:val="32"/>
          <w:lang w:val="en-US" w:eastAsia="zh-CN"/>
        </w:rPr>
        <w:t xml:space="preserve">    </w:t>
      </w:r>
      <w:r>
        <w:rPr>
          <w:rFonts w:hint="eastAsia" w:ascii="方正公文黑体" w:hAnsi="方正公文黑体" w:eastAsia="方正公文黑体" w:cs="方正公文黑体"/>
          <w:sz w:val="32"/>
          <w:szCs w:val="32"/>
          <w:lang w:eastAsia="zh-CN"/>
        </w:rPr>
        <w:t>四、</w:t>
      </w:r>
      <w:r>
        <w:rPr>
          <w:rFonts w:hint="eastAsia" w:ascii="方正公文黑体" w:hAnsi="方正公文黑体" w:eastAsia="方正公文黑体" w:cs="方正公文黑体"/>
          <w:sz w:val="32"/>
          <w:szCs w:val="32"/>
        </w:rPr>
        <w:t>下一步工作举措</w:t>
      </w:r>
    </w:p>
    <w:p>
      <w:pPr>
        <w:pStyle w:val="2"/>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1、继续严格执行“三项制度”,按要求做好镇域内行政执法工作。</w:t>
      </w:r>
    </w:p>
    <w:p>
      <w:pPr>
        <w:pStyle w:val="2"/>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2、结合田长制及遏制新增违法用地工作要求,做好镇域内土地巡查工作,力争做到违法用地零增长。</w:t>
      </w:r>
    </w:p>
    <w:p>
      <w:pPr>
        <w:pStyle w:val="2"/>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3、继续推进“一本帐”点位整改。</w:t>
      </w:r>
    </w:p>
    <w:p>
      <w:pPr>
        <w:pStyle w:val="2"/>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4、继续推进垃圾分类执法工作。</w:t>
      </w:r>
    </w:p>
    <w:p>
      <w:pPr>
        <w:numPr>
          <w:ilvl w:val="0"/>
          <w:numId w:val="0"/>
        </w:numPr>
        <w:rPr>
          <w:rFonts w:hint="eastAsia" w:ascii="方正公文黑体" w:hAnsi="方正公文黑体" w:eastAsia="方正公文黑体" w:cs="方正公文黑体"/>
          <w:sz w:val="32"/>
          <w:szCs w:val="32"/>
          <w:lang w:val="en-US" w:eastAsia="zh-CN"/>
        </w:rPr>
      </w:pPr>
      <w:r>
        <w:rPr>
          <w:rFonts w:hint="eastAsia" w:ascii="方正公文黑体" w:hAnsi="方正公文黑体" w:eastAsia="方正公文黑体" w:cs="方正公文黑体"/>
          <w:sz w:val="32"/>
          <w:szCs w:val="32"/>
          <w:lang w:val="en-US" w:eastAsia="zh-CN"/>
        </w:rPr>
        <w:t xml:space="preserve">    五、第四季度案卷评查情况</w:t>
      </w:r>
    </w:p>
    <w:p>
      <w:pPr>
        <w:pStyle w:val="2"/>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本次评查工作中我镇将镇综合执法大队第四季度做出的行政处罚案卷进行梳理，并根据相关法律要求，对照《天津市行政处罚案卷评查标准》进行评查，评查本单位垃圾分类执法简易程序案件1宗。</w:t>
      </w:r>
    </w:p>
    <w:p>
      <w:pPr>
        <w:pStyle w:val="2"/>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根据评查结果，执法人员能够做到秉公执法，在查处违法行为过程中案件事实清楚、证据确实充分、适用法律正确、程序文书齐备，违法事实与情节认定清楚，相关证据充分，法律法规适用准确，文书送达符合法定形式。</w:t>
      </w:r>
    </w:p>
    <w:p>
      <w:pPr>
        <w:numPr>
          <w:ilvl w:val="0"/>
          <w:numId w:val="0"/>
        </w:numPr>
        <w:jc w:val="right"/>
        <w:rPr>
          <w:rFonts w:hint="eastAsia" w:ascii="方正仿宋_GB2312" w:hAnsi="方正仿宋_GB2312" w:eastAsia="方正仿宋_GB2312" w:cs="方正仿宋_GB2312"/>
          <w:sz w:val="32"/>
          <w:szCs w:val="32"/>
        </w:rPr>
      </w:pPr>
    </w:p>
    <w:p>
      <w:pPr>
        <w:numPr>
          <w:ilvl w:val="0"/>
          <w:numId w:val="0"/>
        </w:numPr>
        <w:jc w:val="right"/>
        <w:rPr>
          <w:rFonts w:hint="eastAsia" w:ascii="方正仿宋_GB2312" w:hAnsi="方正仿宋_GB2312" w:eastAsia="方正仿宋_GB2312" w:cs="方正仿宋_GB2312"/>
          <w:sz w:val="32"/>
          <w:szCs w:val="32"/>
        </w:rPr>
      </w:pPr>
    </w:p>
    <w:p>
      <w:pPr>
        <w:numPr>
          <w:ilvl w:val="0"/>
          <w:numId w:val="0"/>
        </w:numPr>
        <w:jc w:val="right"/>
        <w:rPr>
          <w:rFonts w:hint="eastAsia" w:ascii="方正仿宋_GB2312" w:hAnsi="方正仿宋_GB2312" w:eastAsia="方正仿宋_GB2312" w:cs="方正仿宋_GB2312"/>
          <w:sz w:val="32"/>
          <w:szCs w:val="32"/>
        </w:rPr>
      </w:pPr>
    </w:p>
    <w:p>
      <w:pPr>
        <w:pStyle w:val="2"/>
        <w:jc w:val="cente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双口镇人民政府</w:t>
      </w:r>
    </w:p>
    <w:p>
      <w:pPr>
        <w:pStyle w:val="2"/>
        <w:jc w:val="right"/>
        <w:rPr>
          <w:rFonts w:hint="default" w:ascii="方正仿宋_GB2312" w:hAnsi="方正仿宋_GB2312" w:eastAsia="方正仿宋_GB2312" w:cs="方正仿宋_GB2312"/>
          <w:b/>
          <w:bCs/>
          <w:sz w:val="32"/>
          <w:szCs w:val="32"/>
          <w:lang w:val="en-US" w:eastAsia="zh-CN"/>
        </w:rPr>
      </w:pPr>
      <w:r>
        <w:rPr>
          <w:rFonts w:hint="eastAsia" w:ascii="仿宋" w:hAnsi="仿宋" w:eastAsia="仿宋" w:cs="仿宋"/>
          <w:kern w:val="2"/>
          <w:sz w:val="32"/>
          <w:szCs w:val="32"/>
          <w:lang w:val="en-US" w:eastAsia="zh-CN" w:bidi="ar-SA"/>
        </w:rPr>
        <w:t xml:space="preserve">2023年12月13日 </w:t>
      </w:r>
      <w:r>
        <w:rPr>
          <w:rFonts w:hint="eastAsia" w:ascii="方正仿宋_GB2312" w:hAnsi="方正仿宋_GB2312" w:eastAsia="方正仿宋_GB2312" w:cs="方正仿宋_GB2312"/>
          <w:sz w:val="32"/>
          <w:szCs w:val="32"/>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仿宋"/>
    <w:panose1 w:val="02010604000101010101"/>
    <w:charset w:val="00"/>
    <w:family w:val="auto"/>
    <w:pitch w:val="default"/>
    <w:sig w:usb0="00000000" w:usb1="00000000" w:usb2="00000010" w:usb3="00000000" w:csb0="00040001" w:csb1="00000000"/>
  </w:font>
  <w:font w:name="方正公文小标宋">
    <w:altName w:val="方正小标宋_GBK"/>
    <w:panose1 w:val="02000500000000000000"/>
    <w:charset w:val="86"/>
    <w:family w:val="auto"/>
    <w:pitch w:val="default"/>
    <w:sig w:usb0="00000000" w:usb1="00000000" w:usb2="00000016" w:usb3="00000000" w:csb0="00040001"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公文黑体">
    <w:altName w:val="方正黑体_GBK"/>
    <w:panose1 w:val="02000500000000000000"/>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新宋体">
    <w:altName w:val="方正书宋_GBK"/>
    <w:panose1 w:val="02010609030101010101"/>
    <w:charset w:val="00"/>
    <w:family w:val="modern"/>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AFA2DB"/>
    <w:rsid w:val="F7FF2EE9"/>
    <w:rsid w:val="FBAFA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1"/>
    <w:qFormat/>
    <w:uiPriority w:val="0"/>
    <w:pPr>
      <w:jc w:val="both"/>
      <w:textAlignment w:val="baseline"/>
    </w:pPr>
    <w:rPr>
      <w:rFonts w:ascii="Times New Roman" w:hAnsi="Times New Roman" w:eastAsia="文星仿宋"/>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2023-12-13T16:54:00Z</dcterms:created>
  <dc:creator>admin</dc:creator>
  <cp:lastModifiedBy>admin</cp:lastModifiedBy>
  <cp:lastPrinted>2024-01-02T10:22:40Z</cp:lastPrinted>
  <dcterms:modified xsi:type="dcterms:W3CDTF">2024-01-02T10:25:11Z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